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R1-2104332</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 xml:space="preserve">e-Meeting, </w:t>
      </w:r>
      <w:r>
        <w:rPr>
          <w:rFonts w:hint="eastAsia" w:ascii="Arial" w:hAnsi="Arial" w:eastAsia="宋体" w:cs="Arial"/>
          <w:b/>
          <w:bCs/>
          <w:sz w:val="22"/>
          <w:szCs w:val="22"/>
          <w:lang w:val="en-US" w:eastAsia="zh-CN"/>
        </w:rPr>
        <w:t>May</w:t>
      </w:r>
      <w:r>
        <w:rPr>
          <w:rFonts w:ascii="Arial" w:hAnsi="Arial" w:eastAsia="MS Mincho" w:cs="Arial"/>
          <w:b/>
          <w:bCs/>
          <w:sz w:val="22"/>
          <w:szCs w:val="22"/>
          <w:lang w:eastAsia="ja-JP"/>
        </w:rPr>
        <w:t xml:space="preserve"> 1</w:t>
      </w:r>
      <w:r>
        <w:rPr>
          <w:rFonts w:hint="eastAsia" w:ascii="Arial" w:hAnsi="Arial" w:cs="Arial"/>
          <w:b/>
          <w:bCs/>
          <w:sz w:val="22"/>
          <w:szCs w:val="22"/>
          <w:lang w:val="en-US" w:eastAsia="zh-CN"/>
        </w:rPr>
        <w:t>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w:t>
      </w:r>
      <w:r>
        <w:rPr>
          <w:rFonts w:hint="eastAsia" w:ascii="Arial" w:hAnsi="Arial" w:eastAsia="宋体" w:cs="Arial"/>
          <w:b/>
          <w:bCs/>
          <w:sz w:val="22"/>
          <w:szCs w:val="22"/>
          <w:lang w:val="en-US" w:eastAsia="zh-CN"/>
        </w:rPr>
        <w:t>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pPr>
      <w:r>
        <w:rPr>
          <w:rFonts w:hint="eastAsia"/>
          <w:lang w:val="en-US" w:eastAsia="zh-CN"/>
        </w:rPr>
        <w:t xml:space="preserve">In RAN1#104bis-e,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bCs/>
                <w:szCs w:val="20"/>
                <w:highlight w:val="green"/>
              </w:rPr>
            </w:pPr>
            <w:r>
              <w:rPr>
                <w:rFonts w:ascii="Times New Roman" w:hAnsi="Times New Roman"/>
                <w:bCs/>
                <w:szCs w:val="20"/>
                <w:highlight w:val="green"/>
              </w:rPr>
              <w:t>Agreements:</w:t>
            </w:r>
          </w:p>
          <w:p>
            <w:pPr>
              <w:pStyle w:val="114"/>
              <w:numPr>
                <w:ilvl w:val="0"/>
                <w:numId w:val="10"/>
              </w:numPr>
              <w:autoSpaceDE w:val="0"/>
              <w:autoSpaceDN w:val="0"/>
              <w:adjustRightInd w:val="0"/>
              <w:snapToGrid w:val="0"/>
              <w:spacing w:before="120" w:after="120" w:line="256" w:lineRule="auto"/>
              <w:ind w:left="780" w:leftChars="0"/>
              <w:jc w:val="both"/>
              <w:rPr>
                <w:rFonts w:ascii="Times New Roman" w:hAnsi="Times New Roman"/>
                <w:b/>
                <w:color w:val="auto"/>
                <w:szCs w:val="20"/>
              </w:rPr>
            </w:pPr>
            <w:r>
              <w:rPr>
                <w:rFonts w:ascii="Times New Roman" w:hAnsi="Times New Roman"/>
                <w:szCs w:val="20"/>
              </w:rPr>
              <w:t>For joint channel estimati</w:t>
            </w:r>
            <w:r>
              <w:rPr>
                <w:rFonts w:ascii="Times New Roman" w:hAnsi="Times New Roman"/>
                <w:color w:val="auto"/>
                <w:szCs w:val="20"/>
              </w:rPr>
              <w:t>on, specify a time domain window during which a UE is expected to maintain power consistency and phase continuity among PUSCH transmissions subject to power consistency and phase continuity requirements.</w:t>
            </w:r>
          </w:p>
          <w:p>
            <w:pPr>
              <w:pStyle w:val="114"/>
              <w:numPr>
                <w:ilvl w:val="1"/>
                <w:numId w:val="11"/>
              </w:numPr>
              <w:autoSpaceDE w:val="0"/>
              <w:autoSpaceDN w:val="0"/>
              <w:snapToGrid w:val="0"/>
              <w:spacing w:before="120" w:after="120" w:line="252" w:lineRule="auto"/>
              <w:ind w:left="780" w:leftChars="0"/>
              <w:rPr>
                <w:rFonts w:ascii="Times New Roman" w:hAnsi="Times New Roman"/>
                <w:color w:val="auto"/>
                <w:szCs w:val="20"/>
              </w:rPr>
            </w:pPr>
            <w:r>
              <w:rPr>
                <w:rFonts w:ascii="Times New Roman" w:hAnsi="Times New Roman"/>
                <w:color w:val="auto"/>
                <w:szCs w:val="20"/>
              </w:rPr>
              <w:t>FFS how the time domain window is determined (e.g., via explicit configuration and/or implicitly derived) and whether or not to have the possibility of enabling/disabling the time domain window</w:t>
            </w:r>
          </w:p>
          <w:p>
            <w:pPr>
              <w:pStyle w:val="114"/>
              <w:numPr>
                <w:ilvl w:val="1"/>
                <w:numId w:val="11"/>
              </w:numPr>
              <w:autoSpaceDE w:val="0"/>
              <w:autoSpaceDN w:val="0"/>
              <w:snapToGrid w:val="0"/>
              <w:spacing w:before="120" w:after="120" w:line="252" w:lineRule="auto"/>
              <w:ind w:left="780" w:leftChars="0"/>
              <w:rPr>
                <w:rFonts w:ascii="Times New Roman" w:hAnsi="Times New Roman"/>
                <w:color w:val="auto"/>
                <w:szCs w:val="20"/>
              </w:rPr>
            </w:pPr>
            <w:r>
              <w:rPr>
                <w:rFonts w:ascii="Times New Roman" w:hAnsi="Times New Roman"/>
                <w:color w:val="auto"/>
                <w:szCs w:val="20"/>
              </w:rPr>
              <w:t>FFS the units the time domain windown (e.g. repetitions, slots, and/or symbols)</w:t>
            </w:r>
          </w:p>
          <w:p>
            <w:pPr>
              <w:pStyle w:val="114"/>
              <w:numPr>
                <w:ilvl w:val="2"/>
                <w:numId w:val="11"/>
              </w:numPr>
              <w:autoSpaceDE w:val="0"/>
              <w:autoSpaceDN w:val="0"/>
              <w:snapToGrid w:val="0"/>
              <w:spacing w:before="120" w:after="120" w:line="252" w:lineRule="auto"/>
              <w:ind w:leftChars="0"/>
              <w:rPr>
                <w:rFonts w:ascii="Times New Roman" w:hAnsi="Times New Roman"/>
                <w:color w:val="auto"/>
                <w:szCs w:val="20"/>
              </w:rPr>
            </w:pPr>
            <w:r>
              <w:rPr>
                <w:rFonts w:ascii="Times New Roman" w:hAnsi="Times New Roman"/>
                <w:color w:val="auto"/>
                <w:szCs w:val="20"/>
              </w:rPr>
              <w:t>FFS : association between the potential use case(s) and units of the time window</w:t>
            </w:r>
          </w:p>
          <w:p>
            <w:pPr>
              <w:pStyle w:val="114"/>
              <w:numPr>
                <w:ilvl w:val="1"/>
                <w:numId w:val="11"/>
              </w:numPr>
              <w:autoSpaceDE w:val="0"/>
              <w:autoSpaceDN w:val="0"/>
              <w:snapToGrid w:val="0"/>
              <w:spacing w:before="120" w:after="120" w:line="252" w:lineRule="auto"/>
              <w:ind w:left="780" w:leftChars="0"/>
              <w:rPr>
                <w:rFonts w:ascii="Times New Roman" w:hAnsi="Times New Roman"/>
                <w:color w:val="auto"/>
                <w:szCs w:val="20"/>
              </w:rPr>
            </w:pPr>
            <w:r>
              <w:rPr>
                <w:rFonts w:ascii="Times New Roman" w:hAnsi="Times New Roman"/>
                <w:color w:val="auto"/>
                <w:szCs w:val="20"/>
              </w:rPr>
              <w:t>FFS: single or multiple time domain windows</w:t>
            </w:r>
          </w:p>
          <w:p>
            <w:pPr>
              <w:pStyle w:val="114"/>
              <w:numPr>
                <w:ilvl w:val="0"/>
                <w:numId w:val="12"/>
              </w:numPr>
              <w:autoSpaceDE w:val="0"/>
              <w:autoSpaceDN w:val="0"/>
              <w:snapToGrid w:val="0"/>
              <w:spacing w:before="120" w:after="120" w:line="252" w:lineRule="auto"/>
              <w:ind w:left="780" w:leftChars="0"/>
              <w:rPr>
                <w:rFonts w:ascii="Times New Roman" w:hAnsi="Times New Roman"/>
                <w:color w:val="auto"/>
                <w:szCs w:val="20"/>
              </w:rPr>
            </w:pPr>
            <w:r>
              <w:rPr>
                <w:rFonts w:ascii="Times New Roman" w:hAnsi="Times New Roman"/>
                <w:color w:val="auto"/>
                <w:szCs w:val="20"/>
              </w:rPr>
              <w:t>FFS: relation with UE capability</w:t>
            </w:r>
          </w:p>
          <w:p>
            <w:pPr>
              <w:pStyle w:val="114"/>
              <w:numPr>
                <w:ilvl w:val="0"/>
                <w:numId w:val="12"/>
              </w:numPr>
              <w:autoSpaceDE w:val="0"/>
              <w:autoSpaceDN w:val="0"/>
              <w:adjustRightInd w:val="0"/>
              <w:snapToGrid w:val="0"/>
              <w:spacing w:before="120" w:after="120" w:line="254" w:lineRule="auto"/>
              <w:ind w:left="780" w:leftChars="0"/>
              <w:rPr>
                <w:rFonts w:ascii="Times New Roman" w:hAnsi="Times New Roman"/>
                <w:szCs w:val="20"/>
              </w:rPr>
            </w:pPr>
            <w:r>
              <w:rPr>
                <w:rFonts w:ascii="Times New Roman" w:hAnsi="Times New Roman"/>
                <w:szCs w:val="20"/>
              </w:rPr>
              <w:t>FFS: whether the term "time domain window" is used in the specification or replaced by other technical terms</w:t>
            </w:r>
          </w:p>
          <w:p>
            <w:pPr>
              <w:pStyle w:val="114"/>
              <w:numPr>
                <w:ilvl w:val="0"/>
                <w:numId w:val="12"/>
              </w:numPr>
              <w:autoSpaceDE w:val="0"/>
              <w:autoSpaceDN w:val="0"/>
              <w:adjustRightInd w:val="0"/>
              <w:snapToGrid w:val="0"/>
              <w:spacing w:before="120" w:after="120" w:line="254" w:lineRule="auto"/>
              <w:ind w:left="780" w:leftChars="0"/>
              <w:rPr>
                <w:rFonts w:ascii="Times New Roman" w:hAnsi="Times New Roman"/>
                <w:szCs w:val="20"/>
              </w:rPr>
            </w:pPr>
            <w:r>
              <w:rPr>
                <w:rFonts w:ascii="Times New Roman" w:hAnsi="Times New Roman"/>
                <w:szCs w:val="20"/>
              </w:rPr>
              <w:t>FFS whether or not to further consider impacting of timing advance</w:t>
            </w:r>
          </w:p>
          <w:p>
            <w:pPr>
              <w:spacing w:before="120" w:line="280" w:lineRule="atLeast"/>
              <w:rPr>
                <w:highlight w:val="green"/>
              </w:rPr>
            </w:pPr>
            <w:r>
              <w:rPr>
                <w:highlight w:val="green"/>
              </w:rPr>
              <w:t>Agreements:</w:t>
            </w:r>
          </w:p>
          <w:p>
            <w:pPr>
              <w:numPr>
                <w:ilvl w:val="0"/>
                <w:numId w:val="13"/>
              </w:numPr>
              <w:spacing w:before="120" w:line="280" w:lineRule="atLeast"/>
              <w:rPr>
                <w:rFonts w:ascii="等线" w:hAnsi="等线" w:eastAsia="等线" w:cs="Calibri"/>
                <w:sz w:val="21"/>
                <w:szCs w:val="21"/>
                <w:lang w:eastAsia="zh-CN"/>
              </w:rPr>
            </w:pPr>
            <w:r>
              <w:t>A new DMRS pattern equally spaced among PUSCH transmissions is not considered for joint channel estimation in Rel-17.</w:t>
            </w:r>
          </w:p>
          <w:p>
            <w:pPr>
              <w:spacing w:before="120" w:line="280" w:lineRule="atLeast"/>
              <w:rPr>
                <w:highlight w:val="green"/>
              </w:rPr>
            </w:pPr>
            <w:r>
              <w:rPr>
                <w:highlight w:val="green"/>
              </w:rPr>
              <w:t>Agreements:</w:t>
            </w:r>
          </w:p>
          <w:p>
            <w:pPr>
              <w:numPr>
                <w:ilvl w:val="0"/>
                <w:numId w:val="13"/>
              </w:numPr>
              <w:spacing w:before="120" w:line="280" w:lineRule="atLeast"/>
            </w:pPr>
            <w:r>
              <w:t>For inter-slot frequency hopping with inter-slot bundling, down select on the following two options:</w:t>
            </w:r>
          </w:p>
          <w:p>
            <w:pPr>
              <w:numPr>
                <w:ilvl w:val="1"/>
                <w:numId w:val="13"/>
              </w:numPr>
              <w:spacing w:before="120" w:line="280" w:lineRule="atLeast"/>
            </w:pPr>
            <w:r>
              <w:t>Option 1: The bundle size (time domain hopping interval) equals to the time domain window size.</w:t>
            </w:r>
          </w:p>
          <w:p>
            <w:pPr>
              <w:numPr>
                <w:ilvl w:val="1"/>
                <w:numId w:val="13"/>
              </w:numPr>
              <w:spacing w:before="120" w:line="280" w:lineRule="atLeast"/>
            </w:pPr>
            <w:r>
              <w:t>Option 2: The bundle size (time domain hopping interval) can be different from the time domain window size.</w:t>
            </w:r>
          </w:p>
          <w:p>
            <w:pPr>
              <w:numPr>
                <w:ilvl w:val="2"/>
                <w:numId w:val="13"/>
              </w:numPr>
              <w:spacing w:before="120" w:line="280" w:lineRule="atLeast"/>
            </w:pPr>
            <w:r>
              <w:t>FFS: Whether the bundle size (time domain hopping interval) is explicitly configured or implicitly determined.</w:t>
            </w:r>
          </w:p>
          <w:p>
            <w:pPr>
              <w:numPr>
                <w:ilvl w:val="2"/>
                <w:numId w:val="13"/>
              </w:numPr>
              <w:spacing w:before="120" w:line="280" w:lineRule="atLeast"/>
            </w:pPr>
            <w:r>
              <w:t>FFS: Whether/How the bundle size (time domain hopping interval) is defined separately for FDD and TDD.</w:t>
            </w:r>
          </w:p>
          <w:p>
            <w:pPr>
              <w:numPr>
                <w:ilvl w:val="2"/>
                <w:numId w:val="13"/>
              </w:numPr>
              <w:spacing w:before="120" w:line="280" w:lineRule="atLeast"/>
              <w:rPr>
                <w:rFonts w:hint="eastAsia" w:ascii="等线" w:hAnsi="等线" w:eastAsia="等线"/>
                <w:sz w:val="21"/>
                <w:szCs w:val="21"/>
                <w:lang w:eastAsia="zh-CN"/>
              </w:rPr>
            </w:pPr>
            <w:r>
              <w:t>FFS: relation between the bundle size (time domain hopping interval) and the time domain window size</w:t>
            </w:r>
          </w:p>
          <w:p>
            <w:pPr>
              <w:spacing w:before="120" w:line="280" w:lineRule="atLeast"/>
              <w:rPr>
                <w:rFonts w:hint="eastAsia"/>
                <w:b/>
                <w:bCs/>
                <w:u w:val="single"/>
              </w:rPr>
            </w:pPr>
            <w:r>
              <w:rPr>
                <w:b/>
                <w:bCs/>
                <w:u w:val="single"/>
              </w:rPr>
              <w:t>Conclusion:</w:t>
            </w:r>
          </w:p>
          <w:p>
            <w:pPr>
              <w:numPr>
                <w:ilvl w:val="0"/>
                <w:numId w:val="13"/>
              </w:numPr>
              <w:spacing w:before="120" w:line="280" w:lineRule="atLeast"/>
            </w:pPr>
            <w:r>
              <w:t>For optimization of DMRS granularity in time domain with joint channel estimation, the proponents are encouraged to provide more simulation results in next meeting</w:t>
            </w:r>
          </w:p>
          <w:p>
            <w:pPr>
              <w:spacing w:before="120" w:line="280" w:lineRule="atLeast"/>
              <w:rPr>
                <w:rFonts w:ascii="Times New Roman" w:hAnsi="Times New Roman"/>
                <w:b/>
                <w:szCs w:val="20"/>
                <w:highlight w:val="green"/>
              </w:rPr>
            </w:pPr>
            <w:r>
              <w:rPr>
                <w:rFonts w:ascii="Times New Roman" w:hAnsi="Times New Roman"/>
                <w:bCs/>
                <w:szCs w:val="20"/>
                <w:highlight w:val="green"/>
              </w:rPr>
              <w:t>Agreements</w:t>
            </w:r>
            <w:r>
              <w:rPr>
                <w:rFonts w:ascii="Times New Roman" w:hAnsi="Times New Roman"/>
                <w:b/>
                <w:szCs w:val="20"/>
                <w:highlight w:val="green"/>
              </w:rPr>
              <w:t>:</w:t>
            </w:r>
          </w:p>
          <w:p>
            <w:pPr>
              <w:numPr>
                <w:ilvl w:val="0"/>
                <w:numId w:val="14"/>
              </w:numPr>
              <w:autoSpaceDE w:val="0"/>
              <w:autoSpaceDN w:val="0"/>
              <w:adjustRightInd w:val="0"/>
              <w:snapToGrid w:val="0"/>
              <w:spacing w:before="120" w:after="120" w:line="256" w:lineRule="auto"/>
              <w:ind w:left="420"/>
              <w:jc w:val="both"/>
              <w:rPr>
                <w:rFonts w:ascii="Times New Roman" w:hAnsi="Times New Roman" w:eastAsia="宋体"/>
                <w:szCs w:val="20"/>
              </w:rPr>
            </w:pPr>
            <w:r>
              <w:rPr>
                <w:rFonts w:ascii="Times New Roman" w:hAnsi="Times New Roman" w:eastAsia="宋体"/>
                <w:szCs w:val="20"/>
              </w:rPr>
              <w:t>For the time domain window for joint channel estimation, down select on the following two options:</w:t>
            </w:r>
          </w:p>
          <w:p>
            <w:pPr>
              <w:pStyle w:val="114"/>
              <w:numPr>
                <w:ilvl w:val="1"/>
                <w:numId w:val="15"/>
              </w:numPr>
              <w:autoSpaceDE w:val="0"/>
              <w:autoSpaceDN w:val="0"/>
              <w:snapToGrid w:val="0"/>
              <w:spacing w:before="120" w:after="120" w:line="252" w:lineRule="auto"/>
              <w:ind w:left="780" w:leftChars="0"/>
              <w:jc w:val="both"/>
              <w:rPr>
                <w:rFonts w:ascii="Times New Roman" w:hAnsi="Times New Roman" w:eastAsia="宋体"/>
                <w:szCs w:val="20"/>
                <w:lang w:eastAsia="en-US"/>
              </w:rPr>
            </w:pPr>
            <w:r>
              <w:rPr>
                <w:rFonts w:ascii="Times New Roman" w:hAnsi="Times New Roman"/>
                <w:szCs w:val="20"/>
              </w:rPr>
              <w:t>Option 1: The unit of the time domain window is defined separately for the following PUSCH transmissions:</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PUSCH repetition type A</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PUSCH repetition type B, if agreed</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TBoMS, if agreed</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Different TB, if agreed</w:t>
            </w:r>
          </w:p>
          <w:p>
            <w:pPr>
              <w:pStyle w:val="114"/>
              <w:numPr>
                <w:ilvl w:val="1"/>
                <w:numId w:val="15"/>
              </w:numPr>
              <w:autoSpaceDE w:val="0"/>
              <w:autoSpaceDN w:val="0"/>
              <w:snapToGrid w:val="0"/>
              <w:spacing w:before="120" w:after="120" w:line="252" w:lineRule="auto"/>
              <w:ind w:left="780" w:leftChars="0"/>
              <w:jc w:val="both"/>
              <w:rPr>
                <w:rFonts w:ascii="Times New Roman" w:hAnsi="Times New Roman"/>
                <w:szCs w:val="20"/>
              </w:rPr>
            </w:pPr>
            <w:r>
              <w:rPr>
                <w:rFonts w:ascii="Times New Roman" w:hAnsi="Times New Roman"/>
                <w:szCs w:val="20"/>
              </w:rPr>
              <w:t>Option 2: The unit of the time domain window is the same for the following PUSCH transmission:</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PUSCH repetition type A</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PUSCH repetition type B, if agreed</w:t>
            </w:r>
          </w:p>
          <w:p>
            <w:pPr>
              <w:pStyle w:val="114"/>
              <w:numPr>
                <w:ilvl w:val="2"/>
                <w:numId w:val="16"/>
              </w:numPr>
              <w:autoSpaceDE w:val="0"/>
              <w:autoSpaceDN w:val="0"/>
              <w:snapToGrid w:val="0"/>
              <w:spacing w:before="120" w:after="120" w:line="252" w:lineRule="auto"/>
              <w:ind w:leftChars="0"/>
              <w:jc w:val="both"/>
              <w:rPr>
                <w:rFonts w:ascii="Times New Roman" w:hAnsi="Times New Roman"/>
                <w:szCs w:val="20"/>
              </w:rPr>
            </w:pPr>
            <w:r>
              <w:rPr>
                <w:rFonts w:ascii="Times New Roman" w:hAnsi="Times New Roman"/>
                <w:szCs w:val="20"/>
              </w:rPr>
              <w:t>TBoMS, if agreed</w:t>
            </w:r>
          </w:p>
          <w:p>
            <w:pPr>
              <w:pStyle w:val="114"/>
              <w:numPr>
                <w:ilvl w:val="2"/>
                <w:numId w:val="16"/>
              </w:numPr>
              <w:autoSpaceDE w:val="0"/>
              <w:autoSpaceDN w:val="0"/>
              <w:snapToGrid w:val="0"/>
              <w:spacing w:before="120" w:after="120" w:line="252" w:lineRule="auto"/>
              <w:ind w:leftChars="0"/>
              <w:jc w:val="both"/>
              <w:rPr>
                <w:rFonts w:ascii="Arial" w:hAnsi="Arial" w:cs="Arial"/>
                <w:b/>
                <w:sz w:val="21"/>
                <w:szCs w:val="21"/>
                <w:highlight w:val="none"/>
              </w:rPr>
            </w:pPr>
            <w:r>
              <w:rPr>
                <w:rFonts w:ascii="Times New Roman" w:hAnsi="Times New Roman"/>
                <w:szCs w:val="20"/>
                <w:highlight w:val="none"/>
              </w:rPr>
              <w:t>Different TB, if agreed</w:t>
            </w:r>
          </w:p>
          <w:p>
            <w:pPr>
              <w:spacing w:before="120" w:line="280" w:lineRule="atLeast"/>
              <w:rPr>
                <w:rFonts w:ascii="Times New Roman" w:hAnsi="Times New Roman"/>
                <w:szCs w:val="20"/>
                <w:highlight w:val="green"/>
                <w:lang w:eastAsia="zh-CN"/>
              </w:rPr>
            </w:pPr>
            <w:r>
              <w:rPr>
                <w:rFonts w:ascii="Times New Roman" w:hAnsi="Times New Roman"/>
                <w:szCs w:val="20"/>
                <w:highlight w:val="green"/>
                <w:lang w:eastAsia="zh-CN"/>
              </w:rPr>
              <w:t>Agreement:</w:t>
            </w:r>
          </w:p>
          <w:p>
            <w:pPr>
              <w:pStyle w:val="114"/>
              <w:numPr>
                <w:ilvl w:val="0"/>
                <w:numId w:val="17"/>
              </w:numPr>
              <w:autoSpaceDE w:val="0"/>
              <w:autoSpaceDN w:val="0"/>
              <w:snapToGrid w:val="0"/>
              <w:spacing w:before="120" w:after="120" w:line="252" w:lineRule="auto"/>
              <w:ind w:leftChars="0"/>
              <w:jc w:val="both"/>
              <w:rPr>
                <w:rFonts w:ascii="Times New Roman" w:hAnsi="Times New Roman" w:eastAsia="宋体"/>
                <w:szCs w:val="20"/>
                <w:lang w:val="en-US" w:eastAsia="en-US"/>
              </w:rPr>
            </w:pPr>
            <w:r>
              <w:rPr>
                <w:rFonts w:ascii="Times New Roman" w:hAnsi="Times New Roman" w:eastAsia="宋体"/>
                <w:szCs w:val="20"/>
                <w:lang w:eastAsia="zh-CN"/>
              </w:rPr>
              <w:t xml:space="preserve">For </w:t>
            </w:r>
            <w:r>
              <w:rPr>
                <w:rFonts w:ascii="Times New Roman" w:hAnsi="Times New Roman" w:eastAsia="宋体"/>
                <w:szCs w:val="20"/>
              </w:rPr>
              <w:t>back-to-back PUSCH transmissions across consecutive slots, support necessary design aspects (under the condition of power consistency and phase continuity) to enable joint channel estimation for the following case</w:t>
            </w:r>
            <w:r>
              <w:rPr>
                <w:rFonts w:ascii="Times New Roman" w:hAnsi="Times New Roman" w:eastAsia="宋体"/>
                <w:szCs w:val="20"/>
                <w:lang w:eastAsia="zh-CN"/>
              </w:rPr>
              <w:t>s</w:t>
            </w:r>
            <w:r>
              <w:rPr>
                <w:rFonts w:ascii="Times New Roman" w:hAnsi="Times New Roman" w:eastAsia="宋体"/>
                <w:szCs w:val="20"/>
              </w:rPr>
              <w:t>:</w:t>
            </w:r>
          </w:p>
          <w:p>
            <w:pPr>
              <w:pStyle w:val="114"/>
              <w:numPr>
                <w:ilvl w:val="1"/>
                <w:numId w:val="15"/>
              </w:numPr>
              <w:autoSpaceDE w:val="0"/>
              <w:autoSpaceDN w:val="0"/>
              <w:snapToGrid w:val="0"/>
              <w:spacing w:before="120" w:after="120" w:line="252" w:lineRule="auto"/>
              <w:ind w:left="780" w:leftChars="0"/>
              <w:jc w:val="both"/>
              <w:rPr>
                <w:rFonts w:ascii="Times New Roman" w:hAnsi="Times New Roman" w:eastAsia="宋体"/>
                <w:color w:val="FF0000"/>
                <w:szCs w:val="20"/>
              </w:rPr>
            </w:pPr>
            <w:r>
              <w:rPr>
                <w:rFonts w:ascii="Times New Roman" w:hAnsi="Times New Roman" w:eastAsia="宋体"/>
                <w:szCs w:val="20"/>
              </w:rPr>
              <w:t xml:space="preserve">Over back-to-back PUSCH transmissions (of the same TB) for repetition type B scheduled by dynamic grant or </w:t>
            </w:r>
            <w:r>
              <w:rPr>
                <w:rFonts w:ascii="Times New Roman" w:hAnsi="Times New Roman" w:eastAsia="宋体"/>
                <w:color w:val="000000"/>
                <w:szCs w:val="20"/>
              </w:rPr>
              <w:t>configured grant, if it reuses only those joint channel estimation specification enhancements defined to support repetition Type A.</w:t>
            </w:r>
            <w:r>
              <w:rPr>
                <w:rFonts w:ascii="Times New Roman" w:hAnsi="Times New Roman" w:eastAsia="宋体"/>
                <w:color w:val="FF0000"/>
                <w:szCs w:val="20"/>
              </w:rPr>
              <w:t xml:space="preserve"> </w:t>
            </w:r>
          </w:p>
          <w:p>
            <w:pPr>
              <w:pStyle w:val="114"/>
              <w:numPr>
                <w:ilvl w:val="2"/>
                <w:numId w:val="15"/>
              </w:numPr>
              <w:autoSpaceDE w:val="0"/>
              <w:autoSpaceDN w:val="0"/>
              <w:snapToGrid w:val="0"/>
              <w:spacing w:before="120" w:after="120" w:line="252" w:lineRule="auto"/>
              <w:ind w:leftChars="0"/>
              <w:jc w:val="both"/>
              <w:rPr>
                <w:rFonts w:ascii="Times New Roman" w:hAnsi="Times New Roman" w:eastAsia="宋体"/>
                <w:color w:val="000000"/>
                <w:szCs w:val="20"/>
              </w:rPr>
            </w:pPr>
            <w:r>
              <w:rPr>
                <w:rFonts w:ascii="Times New Roman" w:hAnsi="Times New Roman" w:eastAsia="宋体"/>
                <w:color w:val="000000"/>
                <w:szCs w:val="20"/>
              </w:rPr>
              <w:t>FFS: additional specification enhancements on top of that defined to support repetition Type A</w:t>
            </w:r>
          </w:p>
          <w:p>
            <w:pPr>
              <w:pStyle w:val="114"/>
              <w:numPr>
                <w:ilvl w:val="1"/>
                <w:numId w:val="15"/>
              </w:numPr>
              <w:autoSpaceDE w:val="0"/>
              <w:autoSpaceDN w:val="0"/>
              <w:snapToGrid w:val="0"/>
              <w:spacing w:before="120" w:after="120" w:line="252" w:lineRule="auto"/>
              <w:ind w:left="780" w:leftChars="0"/>
              <w:jc w:val="both"/>
              <w:rPr>
                <w:rFonts w:ascii="Times New Roman" w:hAnsi="Times New Roman" w:eastAsia="宋体"/>
                <w:color w:val="FF0000"/>
                <w:szCs w:val="20"/>
              </w:rPr>
            </w:pPr>
            <w:r>
              <w:rPr>
                <w:rFonts w:ascii="Times New Roman" w:hAnsi="Times New Roman" w:eastAsia="宋体"/>
                <w:szCs w:val="20"/>
              </w:rPr>
              <w:t>Only for single layer transmissions</w:t>
            </w:r>
          </w:p>
          <w:p>
            <w:pPr>
              <w:pStyle w:val="114"/>
              <w:numPr>
                <w:ilvl w:val="1"/>
                <w:numId w:val="15"/>
              </w:numPr>
              <w:autoSpaceDE w:val="0"/>
              <w:autoSpaceDN w:val="0"/>
              <w:snapToGrid w:val="0"/>
              <w:spacing w:before="120" w:after="120" w:line="252" w:lineRule="auto"/>
              <w:ind w:left="780" w:leftChars="0"/>
              <w:jc w:val="both"/>
              <w:rPr>
                <w:rFonts w:ascii="Times New Roman" w:hAnsi="Times New Roman" w:eastAsia="宋体"/>
                <w:color w:val="FF0000"/>
                <w:szCs w:val="20"/>
              </w:rPr>
            </w:pPr>
            <w:r>
              <w:rPr>
                <w:rFonts w:ascii="Times New Roman" w:hAnsi="Times New Roman" w:eastAsia="宋体"/>
                <w:szCs w:val="20"/>
              </w:rPr>
              <w:t>Subject to UE capability</w:t>
            </w:r>
          </w:p>
          <w:p>
            <w:pPr>
              <w:keepNext w:val="0"/>
              <w:keepLines w:val="0"/>
              <w:pageBreakBefore w:val="0"/>
              <w:widowControl/>
              <w:numPr>
                <w:ilvl w:val="1"/>
                <w:numId w:val="18"/>
              </w:numPr>
              <w:kinsoku/>
              <w:wordWrap/>
              <w:topLinePunct w:val="0"/>
              <w:autoSpaceDE w:val="0"/>
              <w:autoSpaceDN w:val="0"/>
              <w:bidi w:val="0"/>
              <w:snapToGrid w:val="0"/>
              <w:spacing w:before="120" w:line="240" w:lineRule="auto"/>
              <w:rPr>
                <w:rFonts w:hint="default" w:ascii="Times New Roman" w:hAnsi="Times New Roman" w:cs="Times New Roman"/>
                <w:color w:val="auto"/>
                <w:sz w:val="20"/>
                <w:szCs w:val="20"/>
                <w:highlight w:val="none"/>
                <w:vertAlign w:val="baseline"/>
                <w:lang w:eastAsia="zh-CN"/>
              </w:rPr>
            </w:pPr>
            <w:r>
              <w:rPr>
                <w:rFonts w:ascii="Times New Roman" w:hAnsi="Times New Roman" w:eastAsia="宋体"/>
                <w:szCs w:val="20"/>
              </w:rPr>
              <w:t>FFS: Over back-to-back PUSCH transmissions with different TBs</w:t>
            </w:r>
          </w:p>
        </w:tc>
      </w:tr>
    </w:tbl>
    <w:p>
      <w:pPr>
        <w:numPr>
          <w:ilvl w:val="0"/>
          <w:numId w:val="0"/>
        </w:numPr>
        <w:rPr>
          <w:rFonts w:hint="eastAsia"/>
          <w:highlight w:val="none"/>
          <w:lang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w:t>
      </w:r>
      <w:r>
        <w:rPr>
          <w:rStyle w:val="153"/>
          <w:rFonts w:eastAsia="宋体"/>
        </w:rPr>
        <w:t xml:space="preserve"> </w:t>
      </w:r>
      <w:r>
        <w:rPr>
          <w:rStyle w:val="153"/>
          <w:rFonts w:hint="eastAsia" w:eastAsia="宋体"/>
          <w:lang w:val="en-US" w:eastAsia="zh-CN"/>
        </w:rPr>
        <w:t>joint channel estimation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Use cases</w:t>
      </w:r>
    </w:p>
    <w:p>
      <w:pPr>
        <w:pStyle w:val="97"/>
        <w:rPr>
          <w:rStyle w:val="153"/>
          <w:rFonts w:hint="default" w:ascii="Times New Roman" w:hAnsi="Times New Roman" w:eastAsia="宋体" w:cs="Times New Roman"/>
          <w:lang w:val="en-US" w:eastAsia="zh-CN"/>
        </w:rPr>
      </w:pPr>
      <w:r>
        <w:rPr>
          <w:rStyle w:val="153"/>
          <w:rFonts w:hint="eastAsia" w:ascii="Times New Roman" w:hAnsi="Times New Roman" w:eastAsia="宋体" w:cs="Times New Roman"/>
          <w:lang w:val="en-US" w:eastAsia="zh-CN"/>
        </w:rPr>
        <w:t>In the RAN1#104</w:t>
      </w:r>
      <w:r>
        <w:rPr>
          <w:rStyle w:val="153"/>
          <w:rFonts w:hint="eastAsia" w:ascii="Times New Roman" w:hAnsi="Times New Roman" w:cs="Times New Roman"/>
          <w:lang w:val="en-US" w:eastAsia="zh-CN"/>
        </w:rPr>
        <w:t>bis-</w:t>
      </w:r>
      <w:r>
        <w:rPr>
          <w:rStyle w:val="153"/>
          <w:rFonts w:hint="eastAsia" w:ascii="Times New Roman" w:hAnsi="Times New Roman" w:eastAsia="宋体" w:cs="Times New Roman"/>
          <w:lang w:val="en-US" w:eastAsia="zh-CN"/>
        </w:rPr>
        <w:t xml:space="preserve">e meeting, </w:t>
      </w:r>
      <w:r>
        <w:rPr>
          <w:rStyle w:val="153"/>
          <w:rFonts w:hint="eastAsia" w:ascii="Times New Roman" w:hAnsi="Times New Roman" w:cs="Times New Roman"/>
          <w:lang w:val="en-US" w:eastAsia="zh-CN"/>
        </w:rPr>
        <w:t>an LS [3] was sent from RAN1 to RAN4 regarding the use cases of PUSCH repetitions</w:t>
      </w:r>
      <w:r>
        <w:rPr>
          <w:rStyle w:val="153"/>
          <w:rFonts w:hint="eastAsia" w:ascii="Times New Roman" w:hAnsi="Times New Roman" w:eastAsia="宋体" w:cs="Times New Roman"/>
          <w:lang w:val="en-US" w:eastAsia="zh-CN"/>
        </w:rPr>
        <w:t xml:space="preserve">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00" w:beforeAutospacing="1" w:after="100" w:afterAutospacing="1" w:line="280" w:lineRule="atLeast"/>
              <w:rPr>
                <w:rFonts w:ascii="Times New Roman" w:hAnsi="Times New Roman" w:cs="Times New Roman"/>
                <w:sz w:val="20"/>
                <w:szCs w:val="20"/>
              </w:rPr>
            </w:pPr>
            <w:r>
              <w:rPr>
                <w:rFonts w:ascii="Times New Roman" w:hAnsi="Times New Roman" w:cs="Times New Roman"/>
                <w:sz w:val="20"/>
                <w:szCs w:val="20"/>
              </w:rPr>
              <w:t>For PUSCH transmission, the following use cases are considered in RAN1. Among the following cases, RAN1 suggest RAN4 to deprioritize use case 5a for PUSCH transmission.</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Times New Roman" w:hAnsi="Times New Roman"/>
                <w:sz w:val="20"/>
                <w:szCs w:val="20"/>
                <w:lang w:eastAsia="ko-KR"/>
              </w:rPr>
              <w:t></w:t>
            </w:r>
            <w:r>
              <w:rPr>
                <w:rFonts w:ascii="Times New Roman" w:hAnsi="Times New Roman" w:cs="Times New Roman"/>
                <w:sz w:val="20"/>
                <w:szCs w:val="20"/>
                <w:lang w:eastAsia="ko-KR"/>
              </w:rPr>
              <w:t>   Use case 1: back-to-back PUSCH transmissions within one slot.</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Times New Roman" w:hAnsi="Times New Roman"/>
                <w:sz w:val="20"/>
                <w:szCs w:val="20"/>
                <w:lang w:eastAsia="ko-KR"/>
              </w:rPr>
              <w:t></w:t>
            </w:r>
            <w:r>
              <w:rPr>
                <w:rFonts w:ascii="Times New Roman" w:hAnsi="Times New Roman" w:cs="Times New Roman"/>
                <w:sz w:val="20"/>
                <w:szCs w:val="20"/>
                <w:lang w:eastAsia="ko-KR"/>
              </w:rPr>
              <w:t>   Use case 2: non-back-to-back PUSCH transmissions within one slot.</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Use case 2a: no uplink transmission in the middle of two PUSCH transmissions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Use case 2b: other uplink transmissions in the middle of two PUSCH transmissions</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Times New Roman" w:hAnsi="Times New Roman"/>
                <w:sz w:val="20"/>
                <w:szCs w:val="20"/>
                <w:lang w:eastAsia="ko-KR"/>
              </w:rPr>
              <w:t></w:t>
            </w:r>
            <w:r>
              <w:rPr>
                <w:rFonts w:ascii="Times New Roman" w:hAnsi="Times New Roman" w:cs="Times New Roman"/>
                <w:sz w:val="20"/>
                <w:szCs w:val="20"/>
                <w:lang w:eastAsia="ko-KR"/>
              </w:rPr>
              <w:t>   Use case 3: back-to-back PUSCH transmissions across consecutive slots.</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Times New Roman" w:hAnsi="Times New Roman"/>
                <w:sz w:val="20"/>
                <w:szCs w:val="20"/>
                <w:lang w:eastAsia="ko-KR"/>
              </w:rPr>
              <w:t></w:t>
            </w:r>
            <w:r>
              <w:rPr>
                <w:rFonts w:ascii="Times New Roman" w:hAnsi="Times New Roman" w:cs="Times New Roman"/>
                <w:sz w:val="20"/>
                <w:szCs w:val="20"/>
                <w:lang w:eastAsia="ko-KR"/>
              </w:rPr>
              <w:t>   Use case 4: non-back-to-back PUSCH transmissions across consecutive slots.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Use case 4a: no uplink transmission in the middle of two PUSCH transmissions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Use case 4b: other uplink transmissions in the middle of two PUSCH transmissions</w:t>
            </w:r>
          </w:p>
          <w:p>
            <w:pPr>
              <w:pStyle w:val="32"/>
              <w:overflowPunct w:val="0"/>
              <w:autoSpaceDE w:val="0"/>
              <w:autoSpaceDN w:val="0"/>
              <w:spacing w:before="120" w:after="120" w:line="280" w:lineRule="atLeast"/>
              <w:ind w:left="420" w:hanging="420"/>
              <w:jc w:val="both"/>
              <w:textAlignment w:val="baseline"/>
              <w:rPr>
                <w:rFonts w:ascii="Times New Roman" w:hAnsi="Times New Roman" w:cs="Times New Roman"/>
                <w:sz w:val="20"/>
                <w:szCs w:val="20"/>
                <w:lang w:eastAsia="ko-KR"/>
              </w:rPr>
            </w:pPr>
            <w:r>
              <w:rPr>
                <w:rFonts w:ascii="Times New Roman" w:hAnsi="Times New Roman"/>
                <w:sz w:val="20"/>
                <w:szCs w:val="20"/>
                <w:lang w:eastAsia="ko-KR"/>
              </w:rPr>
              <w:t></w:t>
            </w:r>
            <w:r>
              <w:rPr>
                <w:rFonts w:ascii="Times New Roman" w:hAnsi="Times New Roman" w:cs="Times New Roman"/>
                <w:sz w:val="20"/>
                <w:szCs w:val="20"/>
                <w:lang w:eastAsia="ko-KR"/>
              </w:rPr>
              <w:t>   Use case 5: PUSCH transmissions across non-consecutive slots.</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xml:space="preserve">   Use case 5a: no uplink transmission in the middle of two PUSCH transmissions </w:t>
            </w:r>
          </w:p>
          <w:p>
            <w:pPr>
              <w:pStyle w:val="32"/>
              <w:overflowPunct w:val="0"/>
              <w:autoSpaceDE w:val="0"/>
              <w:autoSpaceDN w:val="0"/>
              <w:spacing w:before="120" w:after="120" w:line="280" w:lineRule="atLeast"/>
              <w:ind w:left="840" w:hanging="420"/>
              <w:jc w:val="both"/>
              <w:textAlignment w:val="baseline"/>
              <w:rPr>
                <w:rFonts w:ascii="Times New Roman" w:hAnsi="Times New Roman" w:cs="Times New Roman"/>
                <w:sz w:val="20"/>
                <w:szCs w:val="20"/>
                <w:lang w:eastAsia="ko-KR"/>
              </w:rPr>
            </w:pPr>
            <w:r>
              <w:rPr>
                <w:rFonts w:hint="default" w:ascii="Times New Roman" w:hAnsi="Times New Roman" w:eastAsia="宋体"/>
                <w:sz w:val="20"/>
                <w:szCs w:val="20"/>
                <w:lang w:eastAsia="ko-KR"/>
              </w:rPr>
              <w:t>‐</w:t>
            </w:r>
            <w:r>
              <w:rPr>
                <w:rFonts w:ascii="Times New Roman" w:hAnsi="Times New Roman" w:cs="Times New Roman"/>
                <w:sz w:val="20"/>
                <w:szCs w:val="20"/>
                <w:lang w:eastAsia="ko-KR"/>
              </w:rPr>
              <w:t>   Use case 5b: other uplink transmissions in the middle of two PUSCH transmissions</w:t>
            </w:r>
          </w:p>
          <w:p>
            <w:pPr>
              <w:pStyle w:val="32"/>
              <w:spacing w:before="100" w:beforeAutospacing="1" w:after="100" w:afterAutospacing="1" w:line="280" w:lineRule="atLeast"/>
              <w:rPr>
                <w:rFonts w:ascii="Times New Roman" w:hAnsi="Times New Roman" w:cs="Times New Roman"/>
                <w:sz w:val="20"/>
                <w:szCs w:val="20"/>
                <w:lang w:eastAsia="ko-KR"/>
              </w:rPr>
            </w:pPr>
            <w:r>
              <w:rPr>
                <w:rFonts w:ascii="Times New Roman" w:hAnsi="Times New Roman" w:cs="Times New Roman"/>
                <w:sz w:val="20"/>
                <w:szCs w:val="20"/>
                <w:lang w:eastAsia="ko-KR"/>
              </w:rPr>
              <w:t>Note: RAN1 assumes “back-to-back PUSCH transmission” has zero gap in-between adjacent PUSCH transmissions.</w:t>
            </w:r>
          </w:p>
          <w:p>
            <w:pPr>
              <w:pStyle w:val="32"/>
              <w:spacing w:before="100" w:beforeAutospacing="1" w:after="100" w:afterAutospacing="1" w:line="280" w:lineRule="atLeast"/>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Note: intervening “other uplink transmissions” can be either on the same component carrier or a different component carrier. </w:t>
            </w:r>
          </w:p>
          <w:p>
            <w:pPr>
              <w:pStyle w:val="32"/>
              <w:spacing w:before="100" w:beforeAutospacing="1" w:after="100" w:afterAutospacing="1" w:line="280" w:lineRule="atLeast"/>
              <w:rPr>
                <w:rFonts w:hint="eastAsia"/>
                <w:vertAlign w:val="baseline"/>
                <w:lang w:val="en-US" w:eastAsia="zh-CN"/>
              </w:rPr>
            </w:pPr>
          </w:p>
        </w:tc>
      </w:tr>
    </w:tbl>
    <w:p>
      <w:pPr>
        <w:pStyle w:val="97"/>
        <w:rPr>
          <w:rStyle w:val="153"/>
          <w:rFonts w:hint="eastAsia" w:eastAsia="宋体"/>
          <w:lang w:val="en-US" w:eastAsia="zh-CN"/>
        </w:rPr>
      </w:pP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lang w:val="en-US" w:eastAsia="zh-CN"/>
        </w:rPr>
      </w:pPr>
      <w:r>
        <w:rPr>
          <w:rStyle w:val="153"/>
          <w:rFonts w:hint="eastAsia"/>
          <w:lang w:val="en-US" w:eastAsia="zh-CN"/>
        </w:rPr>
        <w:t>For use case 3 (</w:t>
      </w:r>
      <w:r>
        <w:rPr>
          <w:rStyle w:val="153"/>
          <w:rFonts w:hint="default"/>
          <w:lang w:val="en-US" w:eastAsia="ko-KR"/>
        </w:rPr>
        <w:t>back-to-back PUSCH transmissions across consecutive slots</w:t>
      </w:r>
      <w:r>
        <w:rPr>
          <w:rStyle w:val="153"/>
          <w:rFonts w:hint="eastAsia"/>
          <w:lang w:val="en-US" w:eastAsia="zh-CN"/>
        </w:rPr>
        <w:t>), RAN1 has agreed to support joint channel estimation in case of over back-to-back PUSCH transmissions (of the same TB) across consecutive slots for repetition type A and repetition type B. As for back-to-back PUSCH transmissions for one TB processed over consecutive slots, it is was concluded as a working assumption. In our view, we don</w:t>
      </w:r>
      <w:r>
        <w:rPr>
          <w:rStyle w:val="153"/>
          <w:rFonts w:hint="default"/>
          <w:lang w:val="en-US" w:eastAsia="zh-CN"/>
        </w:rPr>
        <w:t>’</w:t>
      </w:r>
      <w:r>
        <w:rPr>
          <w:rStyle w:val="153"/>
          <w:rFonts w:hint="eastAsia"/>
          <w:lang w:val="en-US" w:eastAsia="zh-CN"/>
        </w:rPr>
        <w:t>t identify any difference in terms of satisfying the requirements of keeping phase continuity compared to repetition case. Therefore, we propose to confirm the working assumption.</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eastAsia="宋体"/>
          <w:i/>
          <w:iCs/>
          <w:lang w:val="en-US" w:eastAsia="zh-CN"/>
        </w:rPr>
      </w:pPr>
      <w:r>
        <w:rPr>
          <w:rStyle w:val="153"/>
          <w:rFonts w:hint="default"/>
          <w:b/>
          <w:bCs/>
          <w:i/>
          <w:iCs/>
          <w:lang w:val="en-US" w:eastAsia="zh-CN"/>
        </w:rPr>
        <w:t xml:space="preserve">Proposal 1: </w:t>
      </w:r>
      <w:r>
        <w:rPr>
          <w:rStyle w:val="153"/>
          <w:rFonts w:hint="default"/>
          <w:i/>
          <w:iCs/>
          <w:lang w:val="en-US" w:eastAsia="zh-CN"/>
        </w:rPr>
        <w:t xml:space="preserve">Confirm the working assumption for </w:t>
      </w:r>
      <w:r>
        <w:rPr>
          <w:rFonts w:hint="default" w:ascii="Times New Roman" w:hAnsi="Times New Roman" w:cs="Times New Roman"/>
          <w:i/>
          <w:iCs/>
          <w:color w:val="auto"/>
          <w:sz w:val="20"/>
          <w:szCs w:val="20"/>
          <w:lang w:eastAsia="zh-CN"/>
        </w:rPr>
        <w:t xml:space="preserve">back-to-back PUSCH transmissions for </w:t>
      </w:r>
      <w:r>
        <w:rPr>
          <w:rFonts w:hint="default" w:ascii="Times New Roman" w:hAnsi="Times New Roman" w:cs="Times New Roman"/>
          <w:i/>
          <w:iCs/>
          <w:color w:val="auto"/>
          <w:sz w:val="20"/>
          <w:szCs w:val="20"/>
        </w:rPr>
        <w:t>one TB processed over multiple slots</w:t>
      </w:r>
      <w:r>
        <w:rPr>
          <w:rFonts w:hint="default" w:ascii="Times New Roman" w:hAnsi="Times New Roman" w:cs="Times New Roman"/>
          <w:i/>
          <w:iCs/>
          <w:color w:val="auto"/>
          <w:sz w:val="20"/>
          <w:szCs w:val="20"/>
          <w:lang w:val="en-US" w:eastAsia="zh-CN"/>
        </w:rPr>
        <w:t xml:space="preserve">. </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ascii="Times New Roman" w:hAnsi="Times New Roman" w:eastAsia="Times New Roman" w:cs="Times New Roman"/>
          <w:szCs w:val="20"/>
          <w:lang w:val="en-US" w:eastAsia="zh-CN"/>
        </w:rPr>
      </w:pPr>
      <w:r>
        <w:rPr>
          <w:rStyle w:val="153"/>
          <w:rFonts w:hint="eastAsia"/>
          <w:lang w:val="en-US" w:eastAsia="zh-CN"/>
        </w:rPr>
        <w:t xml:space="preserve">Similarly, the requirements of keeping phase continuity are the same for </w:t>
      </w:r>
      <w:r>
        <w:rPr>
          <w:rStyle w:val="153"/>
          <w:rFonts w:hint="eastAsia" w:ascii="Times New Roman" w:hAnsi="Times New Roman" w:eastAsia="Times New Roman" w:cs="Times New Roman"/>
          <w:szCs w:val="20"/>
          <w:lang w:eastAsia="zh-CN"/>
        </w:rPr>
        <w:t xml:space="preserve">back-to-back PUSCH transmissions with </w:t>
      </w:r>
      <w:r>
        <w:rPr>
          <w:rStyle w:val="153"/>
          <w:rFonts w:hint="eastAsia" w:ascii="Times New Roman" w:hAnsi="Times New Roman" w:eastAsia="Times New Roman" w:cs="Times New Roman"/>
          <w:szCs w:val="20"/>
          <w:lang w:val="en-US" w:eastAsia="zh-CN"/>
        </w:rPr>
        <w:t xml:space="preserve">the same and </w:t>
      </w:r>
      <w:r>
        <w:rPr>
          <w:rStyle w:val="153"/>
          <w:rFonts w:hint="eastAsia" w:ascii="Times New Roman" w:hAnsi="Times New Roman" w:eastAsia="Times New Roman" w:cs="Times New Roman"/>
          <w:szCs w:val="20"/>
          <w:lang w:eastAsia="zh-CN"/>
        </w:rPr>
        <w:t>different TBs</w:t>
      </w:r>
      <w:r>
        <w:rPr>
          <w:rStyle w:val="153"/>
          <w:rFonts w:hint="eastAsia" w:ascii="Times New Roman" w:hAnsi="Times New Roman" w:eastAsia="Times New Roman" w:cs="Times New Roman"/>
          <w:szCs w:val="20"/>
          <w:lang w:val="en-US" w:eastAsia="zh-CN"/>
        </w:rPr>
        <w:t xml:space="preserve">. </w:t>
      </w:r>
      <w:r>
        <w:rPr>
          <w:rStyle w:val="153"/>
          <w:rFonts w:hint="eastAsia" w:eastAsia="宋体" w:cs="Times New Roman"/>
          <w:lang w:val="en-US" w:eastAsia="zh-CN"/>
        </w:rPr>
        <w:t xml:space="preserve">Under such assumption, we propose to support joint channel estimation for the use case of </w:t>
      </w:r>
      <w:r>
        <w:rPr>
          <w:rStyle w:val="153"/>
          <w:rFonts w:hint="eastAsia" w:ascii="Times New Roman" w:hAnsi="Times New Roman" w:eastAsia="Times New Roman" w:cs="Times New Roman"/>
          <w:szCs w:val="20"/>
          <w:lang w:eastAsia="zh-CN"/>
        </w:rPr>
        <w:t xml:space="preserve">back-to-back PUSCH transmissions with </w:t>
      </w:r>
      <w:r>
        <w:rPr>
          <w:rStyle w:val="153"/>
          <w:rFonts w:hint="eastAsia" w:ascii="Times New Roman" w:hAnsi="Times New Roman" w:eastAsia="Times New Roman" w:cs="Times New Roman"/>
          <w:szCs w:val="20"/>
          <w:lang w:val="en-US" w:eastAsia="zh-CN"/>
        </w:rPr>
        <w:t xml:space="preserve">the </w:t>
      </w:r>
      <w:r>
        <w:rPr>
          <w:rStyle w:val="153"/>
          <w:rFonts w:hint="eastAsia" w:ascii="Times New Roman" w:hAnsi="Times New Roman" w:eastAsia="Times New Roman" w:cs="Times New Roman"/>
          <w:szCs w:val="20"/>
          <w:lang w:eastAsia="zh-CN"/>
        </w:rPr>
        <w:t>different TBs</w:t>
      </w:r>
      <w:r>
        <w:rPr>
          <w:rStyle w:val="153"/>
          <w:rFonts w:hint="eastAsia" w:ascii="Times New Roman" w:hAnsi="Times New Roman" w:eastAsia="Times New Roman" w:cs="Times New Roman"/>
          <w:szCs w:val="20"/>
          <w:lang w:val="en-US" w:eastAsia="zh-CN"/>
        </w:rPr>
        <w:t>.</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ascii="Times New Roman" w:hAnsi="Times New Roman" w:eastAsia="Times New Roman" w:cs="Times New Roman"/>
          <w:szCs w:val="20"/>
          <w:lang w:val="en-US" w:eastAsia="zh-CN"/>
        </w:rPr>
      </w:pPr>
      <w:r>
        <w:rPr>
          <w:rStyle w:val="153"/>
          <w:rFonts w:hint="default" w:ascii="Times New Roman" w:hAnsi="Times New Roman" w:cs="Times New Roman"/>
          <w:b/>
          <w:bCs/>
          <w:i/>
          <w:iCs/>
          <w:lang w:val="en-US" w:eastAsia="zh-CN"/>
        </w:rPr>
        <w:t xml:space="preserve">Proposal </w:t>
      </w:r>
      <w:r>
        <w:rPr>
          <w:rStyle w:val="153"/>
          <w:rFonts w:hint="eastAsia" w:ascii="Times New Roman" w:hAnsi="Times New Roman" w:cs="Times New Roman"/>
          <w:b/>
          <w:bCs/>
          <w:i/>
          <w:iCs/>
          <w:lang w:val="en-US" w:eastAsia="zh-CN"/>
        </w:rPr>
        <w:t>2</w:t>
      </w:r>
      <w:r>
        <w:rPr>
          <w:rStyle w:val="153"/>
          <w:rFonts w:hint="default" w:ascii="Times New Roman" w:hAnsi="Times New Roman" w:cs="Times New Roman"/>
          <w:b/>
          <w:bCs/>
          <w:i/>
          <w:iCs/>
          <w:lang w:val="en-US" w:eastAsia="zh-CN"/>
        </w:rPr>
        <w:t xml:space="preserve">: </w:t>
      </w:r>
      <w:r>
        <w:rPr>
          <w:rStyle w:val="153"/>
          <w:rFonts w:hint="eastAsia" w:ascii="Times New Roman" w:hAnsi="Times New Roman" w:cs="Times New Roman"/>
          <w:b w:val="0"/>
          <w:bCs w:val="0"/>
          <w:i/>
          <w:iCs/>
          <w:lang w:val="en-US" w:eastAsia="zh-CN"/>
        </w:rPr>
        <w:t xml:space="preserve">Support </w:t>
      </w:r>
      <w:r>
        <w:rPr>
          <w:rFonts w:ascii="Times New Roman" w:hAnsi="Times New Roman" w:eastAsia="宋体"/>
          <w:i/>
          <w:iCs/>
          <w:sz w:val="20"/>
          <w:szCs w:val="20"/>
        </w:rPr>
        <w:t>joint channel estimation</w:t>
      </w:r>
      <w:r>
        <w:rPr>
          <w:rFonts w:hint="eastAsia" w:ascii="Times New Roman" w:hAnsi="Times New Roman"/>
          <w:i/>
          <w:iCs/>
          <w:sz w:val="20"/>
          <w:szCs w:val="20"/>
          <w:lang w:val="en-US" w:eastAsia="zh-CN"/>
        </w:rPr>
        <w:t xml:space="preserve"> in case of </w:t>
      </w:r>
      <w:r>
        <w:rPr>
          <w:rFonts w:ascii="Times New Roman" w:hAnsi="Times New Roman" w:eastAsia="宋体"/>
          <w:i/>
          <w:iCs/>
          <w:sz w:val="20"/>
          <w:szCs w:val="20"/>
        </w:rPr>
        <w:t>back-to-back PUSCH transmissions with different TBs</w:t>
      </w:r>
      <w:r>
        <w:rPr>
          <w:rFonts w:hint="eastAsia" w:ascii="Times New Roman" w:hAnsi="Times New Roman"/>
          <w:i/>
          <w:iCs/>
          <w:sz w:val="20"/>
          <w:szCs w:val="20"/>
          <w:lang w:val="en-US" w:eastAsia="zh-CN"/>
        </w:rPr>
        <w:t>.</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eastAsia="宋体"/>
          <w:lang w:val="en-US" w:eastAsia="zh-CN"/>
        </w:rPr>
      </w:pPr>
      <w:r>
        <w:rPr>
          <w:rStyle w:val="153"/>
          <w:rFonts w:hint="eastAsia" w:eastAsia="宋体"/>
          <w:lang w:val="en-US" w:eastAsia="zh-CN"/>
        </w:rPr>
        <w:t xml:space="preserve">Regarding </w:t>
      </w:r>
      <w:r>
        <w:rPr>
          <w:rStyle w:val="153"/>
          <w:rFonts w:hint="eastAsia"/>
          <w:lang w:val="en-US" w:eastAsia="zh-CN"/>
        </w:rPr>
        <w:t>u</w:t>
      </w:r>
      <w:r>
        <w:rPr>
          <w:rStyle w:val="153"/>
          <w:rFonts w:hint="eastAsia" w:eastAsia="宋体"/>
          <w:lang w:val="en-US" w:eastAsia="ko-KR"/>
        </w:rPr>
        <w:t>se case 1</w:t>
      </w:r>
      <w:r>
        <w:rPr>
          <w:rStyle w:val="153"/>
          <w:rFonts w:hint="eastAsia"/>
          <w:lang w:val="en-US" w:eastAsia="zh-CN"/>
        </w:rPr>
        <w:t xml:space="preserve"> (</w:t>
      </w:r>
      <w:r>
        <w:rPr>
          <w:rStyle w:val="153"/>
          <w:rFonts w:hint="eastAsia" w:eastAsia="宋体"/>
          <w:lang w:val="en-US" w:eastAsia="ko-KR"/>
        </w:rPr>
        <w:t>back-to-back PUSCH transmissions within one slot</w:t>
      </w:r>
      <w:r>
        <w:rPr>
          <w:rStyle w:val="153"/>
          <w:rFonts w:hint="eastAsia"/>
          <w:lang w:val="en-US" w:eastAsia="zh-CN"/>
        </w:rPr>
        <w:t xml:space="preserve">), the essence is whether to support joint channel estimation for PUSCH repetition type B. Considering repetition type B has been supported for use case 3. </w:t>
      </w:r>
      <w:r>
        <w:rPr>
          <w:rFonts w:hint="eastAsia" w:ascii="Times New Roman" w:hAnsi="Times New Roman" w:cs="Times New Roman"/>
          <w:color w:val="auto"/>
          <w:sz w:val="20"/>
          <w:szCs w:val="20"/>
          <w:lang w:val="en-US" w:eastAsia="zh-CN"/>
        </w:rPr>
        <w:t xml:space="preserve">Thus, use case 1 can also be supported for </w:t>
      </w:r>
      <w:r>
        <w:rPr>
          <w:rStyle w:val="153"/>
          <w:rFonts w:hint="eastAsia" w:eastAsia="宋体"/>
          <w:lang w:val="en-US" w:eastAsia="ko-KR"/>
        </w:rPr>
        <w:t>joint channel estimation for PUSCH</w:t>
      </w:r>
      <w:r>
        <w:rPr>
          <w:rStyle w:val="153"/>
          <w:rFonts w:hint="eastAsia"/>
          <w:lang w:val="en-US" w:eastAsia="zh-CN"/>
        </w:rPr>
        <w:t>.</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b w:val="0"/>
          <w:bCs w:val="0"/>
          <w:i/>
          <w:iCs/>
          <w:lang w:val="en-US" w:eastAsia="zh-CN"/>
        </w:rPr>
      </w:pPr>
      <w:r>
        <w:rPr>
          <w:rStyle w:val="153"/>
          <w:rFonts w:hint="eastAsia"/>
          <w:b/>
          <w:bCs/>
          <w:i/>
          <w:iCs/>
          <w:lang w:val="en-US" w:eastAsia="zh-CN"/>
        </w:rPr>
        <w:t xml:space="preserve">Proposal 3: </w:t>
      </w:r>
      <w:r>
        <w:rPr>
          <w:rStyle w:val="153"/>
          <w:rFonts w:hint="eastAsia"/>
          <w:b w:val="0"/>
          <w:bCs w:val="0"/>
          <w:i/>
          <w:iCs/>
          <w:lang w:val="en-US" w:eastAsia="zh-CN"/>
        </w:rPr>
        <w:t xml:space="preserve">Support </w:t>
      </w:r>
      <w:r>
        <w:rPr>
          <w:rFonts w:hint="eastAsia" w:ascii="Times New Roman" w:hAnsi="Times New Roman" w:cs="Times New Roman"/>
          <w:b w:val="0"/>
          <w:bCs w:val="0"/>
          <w:i/>
          <w:iCs/>
          <w:color w:val="auto"/>
          <w:sz w:val="20"/>
          <w:szCs w:val="20"/>
          <w:lang w:val="en-US" w:eastAsia="zh-CN"/>
        </w:rPr>
        <w:t xml:space="preserve">use case 1 </w:t>
      </w:r>
      <w:r>
        <w:rPr>
          <w:rStyle w:val="153"/>
          <w:rFonts w:hint="eastAsia"/>
          <w:b w:val="0"/>
          <w:bCs w:val="0"/>
          <w:i/>
          <w:iCs/>
          <w:lang w:val="en-US" w:eastAsia="zh-CN"/>
        </w:rPr>
        <w:t>(</w:t>
      </w:r>
      <w:r>
        <w:rPr>
          <w:rStyle w:val="153"/>
          <w:rFonts w:hint="eastAsia" w:eastAsia="宋体"/>
          <w:b w:val="0"/>
          <w:bCs w:val="0"/>
          <w:i/>
          <w:iCs/>
          <w:lang w:val="en-US" w:eastAsia="ko-KR"/>
        </w:rPr>
        <w:t>back-to-back PUSCH transmissions within one slot</w:t>
      </w:r>
      <w:r>
        <w:rPr>
          <w:rStyle w:val="153"/>
          <w:rFonts w:hint="eastAsia"/>
          <w:b w:val="0"/>
          <w:bCs w:val="0"/>
          <w:i/>
          <w:iCs/>
          <w:lang w:val="en-US" w:eastAsia="zh-CN"/>
        </w:rPr>
        <w:t>)</w:t>
      </w:r>
      <w:r>
        <w:rPr>
          <w:rFonts w:hint="eastAsia" w:ascii="Times New Roman" w:hAnsi="Times New Roman" w:cs="Times New Roman"/>
          <w:b w:val="0"/>
          <w:bCs w:val="0"/>
          <w:i/>
          <w:iCs/>
          <w:color w:val="auto"/>
          <w:sz w:val="20"/>
          <w:szCs w:val="20"/>
          <w:lang w:val="en-US" w:eastAsia="zh-CN"/>
        </w:rPr>
        <w:t xml:space="preserve"> for </w:t>
      </w:r>
      <w:r>
        <w:rPr>
          <w:rStyle w:val="153"/>
          <w:rFonts w:hint="eastAsia" w:eastAsia="宋体"/>
          <w:b w:val="0"/>
          <w:bCs w:val="0"/>
          <w:i/>
          <w:iCs/>
          <w:lang w:val="en-US" w:eastAsia="ko-KR"/>
        </w:rPr>
        <w:t>joint channel estimation for PUSCH</w:t>
      </w:r>
      <w:r>
        <w:rPr>
          <w:rStyle w:val="153"/>
          <w:rFonts w:hint="eastAsia"/>
          <w:b w:val="0"/>
          <w:bCs w:val="0"/>
          <w:i/>
          <w:iCs/>
          <w:lang w:val="en-US" w:eastAsia="zh-CN"/>
        </w:rPr>
        <w:t>.</w:t>
      </w:r>
    </w:p>
    <w:p>
      <w:pPr>
        <w:rPr>
          <w:rFonts w:hint="eastAsia" w:ascii="Times New Roman" w:hAnsi="Times New Roman" w:cs="Times New Roman"/>
          <w:i w:val="0"/>
          <w:iCs w:val="0"/>
          <w:color w:val="auto"/>
          <w:sz w:val="20"/>
          <w:szCs w:val="20"/>
          <w:lang w:val="en-US" w:eastAsia="zh-CN"/>
        </w:rPr>
      </w:pPr>
      <w:r>
        <w:rPr>
          <w:rFonts w:hint="eastAsia" w:ascii="Times New Roman" w:hAnsi="Times New Roman" w:cs="Times New Roman"/>
          <w:i w:val="0"/>
          <w:iCs w:val="0"/>
          <w:color w:val="auto"/>
          <w:sz w:val="20"/>
          <w:szCs w:val="20"/>
          <w:lang w:val="en-US" w:eastAsia="zh-CN"/>
        </w:rPr>
        <w:t xml:space="preserve">Based on RAN4 reply LS in [4] as copied below, </w:t>
      </w:r>
      <w:r>
        <w:rPr>
          <w:rFonts w:hint="eastAsia"/>
          <w:lang w:val="en-US" w:eastAsia="zh-CN"/>
        </w:rPr>
        <w:t xml:space="preserve">RAN4 only confirms the feasibility </w:t>
      </w:r>
      <w:r>
        <w:t>of phase continuity</w:t>
      </w:r>
      <w:r>
        <w:rPr>
          <w:rFonts w:hint="eastAsia"/>
          <w:lang w:eastAsia="zh-CN"/>
        </w:rPr>
        <w:t xml:space="preserve"> and </w:t>
      </w:r>
      <w:r>
        <w:rPr>
          <w:rFonts w:eastAsiaTheme="minorEastAsia"/>
          <w:lang w:val="en-US" w:eastAsia="zh-CN"/>
        </w:rPr>
        <w:t xml:space="preserve">power consistency </w:t>
      </w:r>
      <w:r>
        <w:t>for non-zero un-scheduled gap case for a gap less than 14 symbols</w:t>
      </w:r>
      <w:r>
        <w:rPr>
          <w:rFonts w:hint="eastAsia"/>
          <w:lang w:val="en-US" w:eastAsia="zh-CN"/>
        </w:rPr>
        <w:t xml:space="preserve"> </w:t>
      </w:r>
      <w:r>
        <w:t>when UE is not required to meet the existing off power requirements</w:t>
      </w:r>
      <w:r>
        <w:rPr>
          <w:rFonts w:hint="eastAsia"/>
          <w:lang w:val="en-US" w:eastAsia="zh-CN"/>
        </w:rPr>
        <w:t xml:space="preserve">. However, whether or how to define </w:t>
      </w:r>
      <w:r>
        <w:t>new</w:t>
      </w:r>
      <w:r>
        <w:rPr>
          <w:rFonts w:hint="eastAsia"/>
          <w:lang w:val="en-US" w:eastAsia="zh-CN"/>
        </w:rPr>
        <w:t xml:space="preserve"> off power requirements are still not decided yet. In other words, if no new off power requirements are defined, the phase continuity cannot be kept. So, whether Use case 2a/4a/5a should be supported in RAN1 depends on RAN4 further decision. As for Use case 2b/4b/5b, it is very difficult to satisfy the requirements defined in RAN4 for the other signals transmitted</w:t>
      </w:r>
      <w:r>
        <w:rPr>
          <w:rFonts w:ascii="Times New Roman" w:hAnsi="Times New Roman" w:cs="Times New Roman"/>
          <w:sz w:val="20"/>
          <w:szCs w:val="20"/>
          <w:lang w:eastAsia="ko-KR"/>
        </w:rPr>
        <w:t xml:space="preserve"> in the middle of two PUCCH repetitions</w:t>
      </w:r>
      <w:r>
        <w:rPr>
          <w:rFonts w:hint="eastAsia" w:cs="Times New Roman"/>
          <w:sz w:val="20"/>
          <w:szCs w:val="20"/>
          <w:lang w:val="en-US" w:eastAsia="zh-CN"/>
        </w:rPr>
        <w:t xml:space="preserve"> from RAN1 perspective. Thus, we prefer not to support </w:t>
      </w:r>
      <w:r>
        <w:rPr>
          <w:rFonts w:hint="eastAsia"/>
          <w:lang w:val="en-US" w:eastAsia="zh-CN"/>
        </w:rPr>
        <w:t xml:space="preserve">Use case 2b/4b/5b in RAN1.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hint="default"/>
                <w:vertAlign w:val="baseline"/>
                <w:lang w:val="en-US" w:eastAsia="zh-CN"/>
              </w:rPr>
            </w:pPr>
            <w:r>
              <w:t>RAN4 confirms the feasibility of phase continuity</w:t>
            </w:r>
            <w:r>
              <w:rPr>
                <w:rFonts w:hint="eastAsia"/>
                <w:lang w:eastAsia="zh-CN"/>
              </w:rPr>
              <w:t xml:space="preserve"> and </w:t>
            </w:r>
            <w:r>
              <w:rPr>
                <w:rFonts w:eastAsiaTheme="minorEastAsia"/>
                <w:lang w:val="en-US" w:eastAsia="zh-CN"/>
              </w:rPr>
              <w:t xml:space="preserve">power consistency </w:t>
            </w:r>
            <w:r>
              <w:t xml:space="preserve">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w:t>
            </w:r>
            <w:r>
              <w:rPr>
                <w:rFonts w:eastAsia="等线"/>
                <w:lang w:val="en-US" w:eastAsia="zh-CN"/>
              </w:rPr>
              <w:t xml:space="preserve">if the other scheduled signals/channels during the non-zero gap have the same settings in antenna port, occupied PRBs and UL power than the repeated transmission signals/channels, it is feasible to maintain the phase </w:t>
            </w:r>
            <w:r>
              <w:t>continuity</w:t>
            </w:r>
            <w:r>
              <w:rPr>
                <w:rFonts w:hint="eastAsia"/>
                <w:lang w:eastAsia="zh-CN"/>
              </w:rPr>
              <w:t xml:space="preserve"> and </w:t>
            </w:r>
            <w:r>
              <w:rPr>
                <w:rFonts w:eastAsiaTheme="minorEastAsia"/>
                <w:lang w:val="en-US" w:eastAsia="zh-CN"/>
              </w:rPr>
              <w:t xml:space="preserve">power consistency </w:t>
            </w:r>
            <w:r>
              <w:rPr>
                <w:rFonts w:eastAsia="等线"/>
                <w:lang w:val="en-US" w:eastAsia="zh-CN"/>
              </w:rPr>
              <w:t xml:space="preserve">across the repetitions. </w:t>
            </w:r>
          </w:p>
        </w:tc>
      </w:tr>
    </w:tbl>
    <w:p>
      <w:pPr>
        <w:rPr>
          <w:rFonts w:hint="default"/>
          <w:lang w:val="en-US" w:eastAsia="zh-CN"/>
        </w:rPr>
      </w:pPr>
    </w:p>
    <w:p>
      <w:pPr>
        <w:rPr>
          <w:rFonts w:hint="eastAsia"/>
          <w:b w:val="0"/>
          <w:bCs w:val="0"/>
          <w:i/>
          <w:iCs/>
          <w:lang w:val="en-US" w:eastAsia="zh-CN"/>
        </w:rPr>
      </w:pPr>
      <w:r>
        <w:rPr>
          <w:rFonts w:hint="eastAsia"/>
          <w:b/>
          <w:bCs/>
          <w:i/>
          <w:iCs/>
          <w:lang w:val="en-US" w:eastAsia="zh-CN"/>
        </w:rPr>
        <w:t xml:space="preserve">Proposal 4: </w:t>
      </w:r>
      <w:r>
        <w:rPr>
          <w:rFonts w:hint="eastAsia"/>
          <w:b w:val="0"/>
          <w:bCs w:val="0"/>
          <w:i/>
          <w:iCs/>
          <w:lang w:val="en-US" w:eastAsia="zh-CN"/>
        </w:rPr>
        <w:t>Decide whether to support Use case 2a/4a/5a for PUCCH repetitions depending on RAN4 further discussion.</w:t>
      </w:r>
    </w:p>
    <w:p>
      <w:pPr>
        <w:rPr>
          <w:rFonts w:hint="eastAsia" w:ascii="Times New Roman" w:hAnsi="Times New Roman" w:cs="Times New Roman"/>
          <w:i w:val="0"/>
          <w:iCs w:val="0"/>
          <w:color w:val="auto"/>
          <w:sz w:val="20"/>
          <w:szCs w:val="20"/>
          <w:lang w:val="en-US" w:eastAsia="zh-CN"/>
        </w:rPr>
      </w:pPr>
      <w:r>
        <w:rPr>
          <w:rFonts w:hint="eastAsia"/>
          <w:b/>
          <w:bCs/>
          <w:i/>
          <w:iCs/>
          <w:lang w:val="en-US" w:eastAsia="zh-CN"/>
        </w:rPr>
        <w:t>Proposal 5:</w:t>
      </w:r>
      <w:r>
        <w:rPr>
          <w:rFonts w:hint="eastAsia"/>
          <w:b w:val="0"/>
          <w:bCs w:val="0"/>
          <w:i/>
          <w:iCs/>
          <w:lang w:val="en-US" w:eastAsia="zh-CN"/>
        </w:rPr>
        <w:t xml:space="preserve"> Do not support joint channel estimation for Use case 2b/4b/5b for PUCCH repetitions. </w:t>
      </w:r>
    </w:p>
    <w:p>
      <w:pPr>
        <w:pStyle w:val="3"/>
        <w:bidi w:val="0"/>
        <w:rPr>
          <w:rFonts w:hint="eastAsia"/>
          <w:lang w:val="en-US" w:eastAsia="zh-CN"/>
        </w:rPr>
      </w:pPr>
      <w:r>
        <w:rPr>
          <w:rFonts w:hint="eastAsia"/>
          <w:lang w:val="en-US" w:eastAsia="zh-CN"/>
        </w:rPr>
        <w:t>Time domain window</w:t>
      </w:r>
    </w:p>
    <w:p>
      <w:pPr>
        <w:numPr>
          <w:ilvl w:val="255"/>
          <w:numId w:val="0"/>
        </w:numPr>
        <w:rPr>
          <w:rFonts w:hint="eastAsia" w:cs="Times New Roman"/>
          <w:lang w:val="en-US" w:eastAsia="zh-CN"/>
        </w:rPr>
      </w:pPr>
      <w:r>
        <w:rPr>
          <w:rFonts w:hint="eastAsia" w:ascii="Times New Roman" w:hAnsi="Times New Roman" w:cs="Times New Roman"/>
          <w:lang w:val="en-US" w:eastAsia="zh-CN"/>
        </w:rPr>
        <w:t xml:space="preserve">In the RAN1#104bis-e meeting, </w:t>
      </w:r>
      <w:r>
        <w:rPr>
          <w:rFonts w:hint="eastAsia" w:cs="Times New Roman"/>
          <w:lang w:val="en-US" w:eastAsia="zh-CN"/>
        </w:rPr>
        <w:t xml:space="preserve">a </w:t>
      </w:r>
      <w:r>
        <w:rPr>
          <w:rFonts w:hint="eastAsia" w:ascii="Times New Roman" w:hAnsi="Times New Roman" w:cs="Times New Roman"/>
          <w:lang w:val="en-US" w:eastAsia="zh-CN"/>
        </w:rPr>
        <w:t>time domain window need</w:t>
      </w:r>
      <w:r>
        <w:rPr>
          <w:rFonts w:hint="eastAsia" w:cs="Times New Roman"/>
          <w:lang w:val="en-US" w:eastAsia="zh-CN"/>
        </w:rPr>
        <w:t>s</w:t>
      </w:r>
      <w:r>
        <w:rPr>
          <w:rFonts w:hint="eastAsia" w:ascii="Times New Roman" w:hAnsi="Times New Roman" w:cs="Times New Roman"/>
          <w:lang w:val="en-US" w:eastAsia="zh-CN"/>
        </w:rPr>
        <w:t xml:space="preserve"> to be specified during which a UE is expected to maintain power consistency and phase continuity among PUSCH transmissions subject to power consistency and phase continuity requirements. The time domain window is subject to UE capability</w:t>
      </w:r>
      <w:r>
        <w:rPr>
          <w:rFonts w:hint="eastAsia" w:cs="Times New Roman"/>
          <w:lang w:val="en-US" w:eastAsia="zh-CN"/>
        </w:rPr>
        <w:t>. Thus,</w:t>
      </w:r>
      <w:r>
        <w:rPr>
          <w:rFonts w:hint="eastAsia" w:ascii="Times New Roman" w:hAnsi="Times New Roman" w:cs="Times New Roman"/>
          <w:lang w:val="en-US" w:eastAsia="zh-CN"/>
        </w:rPr>
        <w:t xml:space="preserve"> </w:t>
      </w:r>
      <w:r>
        <w:rPr>
          <w:rFonts w:hint="eastAsia" w:cs="Times New Roman"/>
          <w:lang w:val="en-US" w:eastAsia="zh-CN"/>
        </w:rPr>
        <w:t xml:space="preserve">a </w:t>
      </w:r>
      <w:r>
        <w:rPr>
          <w:rFonts w:hint="default" w:ascii="Times New Roman" w:hAnsi="Times New Roman" w:cs="Times New Roman"/>
          <w:lang w:val="en-US" w:eastAsia="zh-CN"/>
        </w:rPr>
        <w:t>UE</w:t>
      </w:r>
      <w:r>
        <w:rPr>
          <w:rFonts w:hint="eastAsia" w:ascii="Times New Roman" w:hAnsi="Times New Roman" w:cs="Times New Roman"/>
          <w:lang w:val="en-US" w:eastAsia="zh-CN"/>
        </w:rPr>
        <w:t xml:space="preserve"> </w:t>
      </w:r>
      <w:r>
        <w:rPr>
          <w:rFonts w:hint="eastAsia" w:cs="Times New Roman"/>
          <w:lang w:val="en-US" w:eastAsia="zh-CN"/>
        </w:rPr>
        <w:t>can report</w:t>
      </w:r>
      <w:r>
        <w:rPr>
          <w:rFonts w:hint="default" w:ascii="Times New Roman" w:hAnsi="Times New Roman" w:cs="Times New Roman"/>
          <w:lang w:val="en-US" w:eastAsia="zh-CN"/>
        </w:rPr>
        <w:t xml:space="preserve"> a maximum time window size which is used for maintain power consistency and phase continuity among PUSCH/PUCCH transmissions to gNB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then gNB configure</w:t>
      </w:r>
      <w:r>
        <w:rPr>
          <w:rFonts w:hint="eastAsia" w:cs="Times New Roman"/>
          <w:lang w:val="en-US" w:eastAsia="zh-CN"/>
        </w:rPr>
        <w:t>s</w:t>
      </w:r>
      <w:r>
        <w:rPr>
          <w:rFonts w:hint="eastAsia" w:ascii="Times New Roman" w:hAnsi="Times New Roman" w:cs="Times New Roman"/>
          <w:lang w:val="en-US" w:eastAsia="zh-CN"/>
        </w:rPr>
        <w:t xml:space="preserve"> a time domain window</w:t>
      </w:r>
      <w:r>
        <w:rPr>
          <w:rFonts w:hint="eastAsia" w:cs="Times New Roman"/>
          <w:lang w:val="en-US" w:eastAsia="zh-CN"/>
        </w:rPr>
        <w:t xml:space="preserve"> to UE. </w:t>
      </w:r>
    </w:p>
    <w:p>
      <w:pPr>
        <w:numPr>
          <w:ilvl w:val="-1"/>
          <w:numId w:val="0"/>
        </w:numPr>
        <w:spacing w:before="273" w:beforeLines="100"/>
        <w:rPr>
          <w:rFonts w:hint="default" w:cs="Times New Roman"/>
          <w:b w:val="0"/>
          <w:bCs w:val="0"/>
          <w:lang w:val="en-US" w:eastAsia="zh-CN"/>
        </w:rPr>
      </w:pPr>
      <w:r>
        <w:rPr>
          <w:rFonts w:hint="default"/>
          <w:b/>
          <w:bCs/>
          <w:i/>
          <w:iCs/>
          <w:lang w:val="en-US" w:eastAsia="zh-CN"/>
        </w:rPr>
        <w:t>Proposal 6:</w:t>
      </w:r>
      <w:r>
        <w:rPr>
          <w:rFonts w:hint="default"/>
          <w:b w:val="0"/>
          <w:bCs w:val="0"/>
          <w:i/>
          <w:iCs/>
          <w:lang w:val="en-US" w:eastAsia="zh-CN"/>
        </w:rPr>
        <w:t xml:space="preserve"> A UE reports a maximum </w:t>
      </w:r>
      <w:r>
        <w:rPr>
          <w:rFonts w:hint="default" w:ascii="Times New Roman" w:hAnsi="Times New Roman" w:cs="Times New Roman"/>
          <w:b w:val="0"/>
          <w:bCs w:val="0"/>
          <w:i/>
          <w:iCs/>
          <w:szCs w:val="20"/>
          <w:lang w:val="en-US" w:eastAsia="zh-CN"/>
        </w:rPr>
        <w:t xml:space="preserve">time domain window size </w:t>
      </w:r>
      <w:r>
        <w:rPr>
          <w:rFonts w:hint="default" w:cs="Times New Roman"/>
          <w:b w:val="0"/>
          <w:bCs w:val="0"/>
          <w:i/>
          <w:iCs/>
          <w:szCs w:val="20"/>
          <w:lang w:val="en-US" w:eastAsia="zh-CN"/>
        </w:rPr>
        <w:t xml:space="preserve">for joint channel estimation of PUSCH. </w:t>
      </w:r>
    </w:p>
    <w:p>
      <w:pPr>
        <w:numPr>
          <w:ilvl w:val="255"/>
          <w:numId w:val="0"/>
        </w:numPr>
        <w:rPr>
          <w:rFonts w:hint="default" w:cs="Times New Roman"/>
          <w:lang w:val="en-US" w:eastAsia="zh-CN"/>
        </w:rPr>
      </w:pPr>
      <w:r>
        <w:rPr>
          <w:rFonts w:hint="eastAsia" w:cs="Times New Roman"/>
          <w:lang w:val="en-US" w:eastAsia="zh-CN"/>
        </w:rPr>
        <w:t xml:space="preserve">However, the actual time domain window a UE can maintain the phase continuity could be different for different use cases, e.g., the actual time domain window may be smaller than the configured time domain window due to collision with DL symbols in TDD operation. At least for discussion purpose, we propose to introduce </w:t>
      </w:r>
      <w:r>
        <w:rPr>
          <w:rFonts w:hint="default" w:cs="Times New Roman"/>
          <w:lang w:val="en-US" w:eastAsia="zh-CN"/>
        </w:rPr>
        <w:t>‘</w:t>
      </w:r>
      <w:r>
        <w:rPr>
          <w:rFonts w:hint="eastAsia" w:cs="Times New Roman"/>
          <w:lang w:val="en-US" w:eastAsia="zh-CN"/>
        </w:rPr>
        <w:t>nominal time domain window</w:t>
      </w:r>
      <w:r>
        <w:rPr>
          <w:rFonts w:hint="default" w:cs="Times New Roman"/>
          <w:lang w:val="en-US" w:eastAsia="zh-CN"/>
        </w:rPr>
        <w:t>’</w:t>
      </w:r>
      <w:r>
        <w:rPr>
          <w:rFonts w:hint="eastAsia" w:cs="Times New Roman"/>
          <w:lang w:val="en-US" w:eastAsia="zh-CN"/>
        </w:rPr>
        <w:t xml:space="preserve"> and </w:t>
      </w:r>
      <w:r>
        <w:rPr>
          <w:rFonts w:hint="default" w:cs="Times New Roman"/>
          <w:lang w:val="en-US" w:eastAsia="zh-CN"/>
        </w:rPr>
        <w:t>‘</w:t>
      </w:r>
      <w:r>
        <w:rPr>
          <w:rFonts w:hint="eastAsia" w:cs="Times New Roman"/>
          <w:lang w:val="en-US" w:eastAsia="zh-CN"/>
        </w:rPr>
        <w:t>actual time domain window</w:t>
      </w:r>
      <w:r>
        <w:rPr>
          <w:rFonts w:hint="default" w:cs="Times New Roman"/>
          <w:lang w:val="en-US" w:eastAsia="zh-CN"/>
        </w:rPr>
        <w:t>’</w:t>
      </w:r>
      <w:r>
        <w:rPr>
          <w:rFonts w:hint="eastAsia" w:cs="Times New Roman"/>
          <w:lang w:val="en-US" w:eastAsia="zh-CN"/>
        </w:rPr>
        <w:t xml:space="preserve">, which is similar as the terminology introduced for PUSCH repetition type B in Rel-16. With such assumption, gNB can configure a nominal time domain window which is the same for all use cases supported. The </w:t>
      </w:r>
      <w:r>
        <w:rPr>
          <w:rFonts w:hint="eastAsia" w:ascii="Times New Roman" w:hAnsi="Times New Roman" w:cs="Times New Roman"/>
          <w:lang w:val="en-US" w:eastAsia="zh-CN"/>
        </w:rPr>
        <w:t xml:space="preserve">actual time domain window(s) could be different for different cases, e.g., a group of consecutive slots/symbols or a group of PUSCHs during which the phase continuity can be </w:t>
      </w:r>
      <w:r>
        <w:rPr>
          <w:rFonts w:hint="eastAsia" w:cs="Times New Roman"/>
          <w:lang w:val="en-US" w:eastAsia="zh-CN"/>
        </w:rPr>
        <w:t xml:space="preserve">actually </w:t>
      </w:r>
      <w:r>
        <w:rPr>
          <w:rFonts w:hint="eastAsia" w:ascii="Times New Roman" w:hAnsi="Times New Roman" w:cs="Times New Roman"/>
          <w:lang w:val="en-US" w:eastAsia="zh-CN"/>
        </w:rPr>
        <w:t xml:space="preserve">kept. </w:t>
      </w:r>
      <w:r>
        <w:rPr>
          <w:rFonts w:hint="eastAsia" w:cs="Times New Roman"/>
          <w:lang w:val="en-US" w:eastAsia="zh-CN"/>
        </w:rPr>
        <w:t xml:space="preserve">An example is shown in Figure 1 below, where the nominal time domain window contains 10 slots and there are two actual time domain windows with 2 and 3 slots respectively.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ascii="Times New Roman" w:hAnsi="Times New Roman" w:cs="Times New Roman"/>
          <w:b w:val="0"/>
          <w:bCs w:val="0"/>
          <w:iCs/>
          <w:kern w:val="2"/>
          <w:position w:val="-6"/>
          <w:sz w:val="20"/>
          <w:szCs w:val="20"/>
          <w:lang w:val="en-US" w:eastAsia="zh-CN" w:bidi="ar-SA"/>
        </w:rPr>
      </w:pPr>
      <w:r>
        <w:drawing>
          <wp:inline distT="0" distB="0" distL="114300" distR="114300">
            <wp:extent cx="5496560" cy="1612900"/>
            <wp:effectExtent l="0" t="0" r="254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5496560" cy="161290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ascii="Times New Roman" w:hAnsi="Times New Roman" w:cs="Times New Roman"/>
          <w:b w:val="0"/>
          <w:bCs w:val="0"/>
          <w:iCs/>
          <w:kern w:val="2"/>
          <w:position w:val="-6"/>
          <w:sz w:val="20"/>
          <w:szCs w:val="20"/>
          <w:lang w:val="en-US" w:eastAsia="zh-CN" w:bidi="ar-SA"/>
        </w:rPr>
      </w:pPr>
      <w:r>
        <w:rPr>
          <w:rFonts w:hint="eastAsia"/>
          <w:highlight w:val="none"/>
          <w:lang w:val="en-US" w:eastAsia="zh-CN"/>
        </w:rPr>
        <w:t>Figure 1. An example of nominal time window and actual time window in TDD case</w:t>
      </w:r>
    </w:p>
    <w:p>
      <w:pPr>
        <w:numPr>
          <w:ilvl w:val="255"/>
          <w:numId w:val="0"/>
        </w:numPr>
        <w:rPr>
          <w:rFonts w:hint="default" w:cs="Times New Roman"/>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i/>
          <w:iCs/>
          <w:szCs w:val="20"/>
          <w:lang w:val="en-US" w:eastAsia="zh-CN"/>
        </w:rPr>
      </w:pPr>
      <w:r>
        <w:rPr>
          <w:rFonts w:hint="eastAsia"/>
          <w:b/>
          <w:bCs/>
          <w:i/>
          <w:iCs/>
          <w:lang w:val="en-US" w:eastAsia="zh-CN"/>
        </w:rPr>
        <w:t xml:space="preserve">Proposal 7: </w:t>
      </w:r>
      <w:r>
        <w:rPr>
          <w:rFonts w:hint="eastAsia"/>
          <w:b w:val="0"/>
          <w:bCs w:val="0"/>
          <w:i/>
          <w:iCs/>
          <w:lang w:val="en-US" w:eastAsia="zh-CN"/>
        </w:rPr>
        <w:t xml:space="preserve">Similar as </w:t>
      </w:r>
      <w:r>
        <w:rPr>
          <w:rFonts w:hint="eastAsia" w:cs="Times New Roman"/>
          <w:i/>
          <w:iCs/>
          <w:lang w:val="en-US" w:eastAsia="zh-CN"/>
        </w:rPr>
        <w:t>the terminology introduced</w:t>
      </w:r>
      <w:r>
        <w:rPr>
          <w:rFonts w:hint="eastAsia" w:cs="Times New Roman"/>
          <w:lang w:val="en-US" w:eastAsia="zh-CN"/>
        </w:rPr>
        <w:t xml:space="preserve"> </w:t>
      </w:r>
      <w:r>
        <w:rPr>
          <w:rFonts w:hint="eastAsia"/>
          <w:b w:val="0"/>
          <w:bCs w:val="0"/>
          <w:i/>
          <w:iCs/>
          <w:lang w:val="en-US" w:eastAsia="zh-CN"/>
        </w:rPr>
        <w:t xml:space="preserve">PUSCH repetition type B, introduce </w:t>
      </w:r>
      <w:r>
        <w:rPr>
          <w:rFonts w:hint="default"/>
          <w:b w:val="0"/>
          <w:bCs w:val="0"/>
          <w:i/>
          <w:iCs/>
          <w:lang w:val="en-US" w:eastAsia="zh-CN"/>
        </w:rPr>
        <w:t>‘</w:t>
      </w:r>
      <w:r>
        <w:rPr>
          <w:rFonts w:hint="eastAsia" w:cs="Times New Roman"/>
          <w:i/>
          <w:iCs/>
          <w:szCs w:val="20"/>
          <w:lang w:val="en-US" w:eastAsia="zh-CN"/>
        </w:rPr>
        <w:t>n</w:t>
      </w:r>
      <w:r>
        <w:rPr>
          <w:rFonts w:hint="eastAsia" w:ascii="Times New Roman" w:hAnsi="Times New Roman" w:cs="Times New Roman"/>
          <w:i/>
          <w:iCs/>
          <w:szCs w:val="20"/>
          <w:lang w:val="en-US" w:eastAsia="zh-CN"/>
        </w:rPr>
        <w:t>ominal time domain window</w:t>
      </w:r>
      <w:r>
        <w:rPr>
          <w:rFonts w:hint="default" w:cs="Times New Roman"/>
          <w:i/>
          <w:iCs/>
          <w:szCs w:val="20"/>
          <w:lang w:val="en-US" w:eastAsia="zh-CN"/>
        </w:rPr>
        <w:t>’</w:t>
      </w:r>
      <w:r>
        <w:rPr>
          <w:rFonts w:hint="eastAsia" w:ascii="Times New Roman" w:hAnsi="Times New Roman" w:cs="Times New Roman"/>
          <w:i/>
          <w:iCs/>
          <w:szCs w:val="20"/>
          <w:lang w:val="en-US" w:eastAsia="zh-CN"/>
        </w:rPr>
        <w:t xml:space="preserve"> and </w:t>
      </w:r>
      <w:r>
        <w:rPr>
          <w:rFonts w:hint="default" w:cs="Times New Roman"/>
          <w:i/>
          <w:iCs/>
          <w:szCs w:val="20"/>
          <w:lang w:val="en-US" w:eastAsia="zh-CN"/>
        </w:rPr>
        <w:t>‘</w:t>
      </w:r>
      <w:r>
        <w:rPr>
          <w:rFonts w:hint="eastAsia" w:ascii="Times New Roman" w:hAnsi="Times New Roman" w:cs="Times New Roman"/>
          <w:i/>
          <w:iCs/>
          <w:szCs w:val="20"/>
          <w:lang w:val="en-US" w:eastAsia="zh-CN"/>
        </w:rPr>
        <w:t>actual time domain window</w:t>
      </w:r>
      <w:r>
        <w:rPr>
          <w:rFonts w:hint="default" w:cs="Times New Roman"/>
          <w:i/>
          <w:iCs/>
          <w:szCs w:val="20"/>
          <w:lang w:val="en-US" w:eastAsia="zh-CN"/>
        </w:rPr>
        <w:t>’</w:t>
      </w:r>
      <w:r>
        <w:rPr>
          <w:rFonts w:hint="eastAsia" w:ascii="Times New Roman" w:hAnsi="Times New Roman" w:cs="Times New Roman"/>
          <w:i/>
          <w:iCs/>
          <w:szCs w:val="20"/>
          <w:lang w:val="en-US" w:eastAsia="zh-CN"/>
        </w:rPr>
        <w:t xml:space="preserve"> </w:t>
      </w:r>
      <w:r>
        <w:rPr>
          <w:rFonts w:hint="eastAsia" w:cs="Times New Roman"/>
          <w:i/>
          <w:iCs/>
          <w:szCs w:val="20"/>
          <w:lang w:val="en-US" w:eastAsia="zh-CN"/>
        </w:rPr>
        <w:t xml:space="preserve">for joint channel estimation of PUSCH. </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273" w:beforeLines="100"/>
        <w:ind w:left="840" w:hanging="420"/>
        <w:textAlignment w:val="baseline"/>
        <w:rPr>
          <w:rFonts w:hint="eastAsia" w:cs="Times New Roman"/>
          <w:i/>
          <w:iCs/>
          <w:szCs w:val="20"/>
          <w:lang w:val="en-US" w:eastAsia="zh-CN"/>
        </w:rPr>
      </w:pPr>
      <w:r>
        <w:rPr>
          <w:rFonts w:hint="eastAsia" w:cs="Times New Roman"/>
          <w:i/>
          <w:iCs/>
          <w:szCs w:val="20"/>
          <w:lang w:val="en-US" w:eastAsia="zh-CN"/>
        </w:rPr>
        <w:t xml:space="preserve"> gNB configures a nominal time domain window applicable for all use cases supported. </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273" w:beforeLines="100"/>
        <w:ind w:left="840" w:hanging="420"/>
        <w:textAlignment w:val="baseline"/>
        <w:rPr>
          <w:rFonts w:hint="eastAsia" w:ascii="Times New Roman" w:hAnsi="Times New Roman" w:cs="Times New Roman"/>
          <w:i/>
          <w:iCs/>
          <w:szCs w:val="20"/>
          <w:lang w:val="en-US" w:eastAsia="zh-CN"/>
        </w:rPr>
      </w:pPr>
      <w:r>
        <w:rPr>
          <w:rFonts w:hint="eastAsia" w:cs="Times New Roman"/>
          <w:i/>
          <w:iCs/>
          <w:szCs w:val="20"/>
          <w:lang w:val="en-US" w:eastAsia="zh-CN"/>
        </w:rPr>
        <w:t xml:space="preserve"> The actual time domain window could be different among different use cases.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273" w:beforeLines="100"/>
        <w:ind w:left="0" w:firstLine="0"/>
        <w:textAlignment w:val="baseline"/>
        <w:rPr>
          <w:rFonts w:hint="default" w:cs="Times New Roman"/>
          <w:i w:val="0"/>
          <w:iCs w:val="0"/>
          <w:szCs w:val="20"/>
          <w:lang w:val="en-US" w:eastAsia="zh-CN"/>
        </w:rPr>
      </w:pPr>
      <w:r>
        <w:rPr>
          <w:rFonts w:hint="eastAsia" w:cs="Times New Roman"/>
          <w:i w:val="0"/>
          <w:iCs w:val="0"/>
          <w:szCs w:val="20"/>
          <w:lang w:val="en-US" w:eastAsia="zh-CN"/>
        </w:rPr>
        <w:t xml:space="preserve">The start of the nominal/actual time domain window should be also discussed. For the start of nominal time domain window, it can be fixed in the time domain once configured. For instance, it can be aligned with the start of frame boundary or aligned with the start of one period for CG PUSCH. Alternatively, it can also be determined dynamically by DCI. Regarding the start of actual time domain window, it can be determined by a group of consecutive slots/symbols/repetitions based on the available transmission occasions. </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eastAsia" w:cs="Times New Roman"/>
          <w:i/>
          <w:iCs/>
          <w:szCs w:val="20"/>
          <w:lang w:val="en-US" w:eastAsia="zh-CN"/>
        </w:rPr>
      </w:pPr>
      <w:r>
        <w:rPr>
          <w:rFonts w:hint="eastAsia"/>
          <w:b/>
          <w:bCs/>
          <w:i/>
          <w:iCs/>
          <w:lang w:val="en-US" w:eastAsia="zh-CN"/>
        </w:rPr>
        <w:t xml:space="preserve">Proposal 8: </w:t>
      </w:r>
      <w:r>
        <w:rPr>
          <w:rFonts w:hint="eastAsia"/>
          <w:b w:val="0"/>
          <w:bCs w:val="0"/>
          <w:i/>
          <w:iCs/>
          <w:lang w:val="en-US" w:eastAsia="zh-CN"/>
        </w:rPr>
        <w:t xml:space="preserve">Further discuss how to specify the start of </w:t>
      </w:r>
      <w:r>
        <w:rPr>
          <w:rFonts w:hint="eastAsia" w:cs="Times New Roman"/>
          <w:i/>
          <w:iCs/>
          <w:szCs w:val="20"/>
          <w:lang w:val="en-US" w:eastAsia="zh-CN"/>
        </w:rPr>
        <w:t xml:space="preserve">the nominal/actual time domain window. </w:t>
      </w:r>
    </w:p>
    <w:p>
      <w:pPr>
        <w:pStyle w:val="3"/>
        <w:bidi w:val="0"/>
        <w:rPr>
          <w:rFonts w:hint="eastAsia"/>
          <w:lang w:val="en-US" w:eastAsia="zh-CN"/>
        </w:rPr>
      </w:pPr>
      <w:r>
        <w:rPr>
          <w:rFonts w:hint="eastAsia"/>
          <w:lang w:val="en-US" w:eastAsia="zh-CN"/>
        </w:rPr>
        <w:t>Inter-slot FH bundling for cross-slot channel estimation</w:t>
      </w:r>
    </w:p>
    <w:p>
      <w:pPr>
        <w:numPr>
          <w:ilvl w:val="255"/>
          <w:numId w:val="0"/>
        </w:numPr>
        <w:rPr>
          <w:rFonts w:hint="eastAsia"/>
          <w:lang w:val="en-US" w:eastAsia="zh-CN"/>
        </w:rPr>
      </w:pPr>
      <w:r>
        <w:rPr>
          <w:rFonts w:hint="eastAsia"/>
          <w:lang w:val="en-US" w:eastAsia="zh-CN"/>
        </w:rPr>
        <w:t>During SI phase, cross-slot channel estimation has been proved beneficial for coverage enhancement due to improved channel estimation accuracy. On top of it, inter-slot FH with inter-slot bundling may provide additional performance gain. Basically, a</w:t>
      </w:r>
      <w:r>
        <w:rPr>
          <w:rFonts w:hint="eastAsia"/>
          <w:highlight w:val="none"/>
          <w:lang w:val="en-US" w:eastAsia="zh-CN"/>
        </w:rPr>
        <w:t xml:space="preserve"> smaller bundle size could achieve higher diversity gain while a lower joint channel estimation gain and vice versa. T</w:t>
      </w:r>
      <w:r>
        <w:rPr>
          <w:rFonts w:hint="eastAsia"/>
          <w:lang w:val="en-US" w:eastAsia="zh-CN"/>
        </w:rPr>
        <w:t xml:space="preserve">o achieve a good balance between FH diversity gain and joint channel estimation gain, the inter-slot FH pattern in the time domain should be studied. </w:t>
      </w:r>
    </w:p>
    <w:p>
      <w:pPr>
        <w:numPr>
          <w:ilvl w:val="255"/>
          <w:numId w:val="0"/>
        </w:numPr>
        <w:rPr>
          <w:rFonts w:hint="default"/>
          <w:lang w:val="en-US" w:eastAsia="zh-CN"/>
        </w:rPr>
      </w:pPr>
      <w:r>
        <w:rPr>
          <w:rFonts w:hint="eastAsia"/>
          <w:lang w:val="en-US" w:eastAsia="zh-CN"/>
        </w:rPr>
        <w:t xml:space="preserve">In Figure 2, different inter-slot FH patterns in the time domain for PUSCH with 8 repetitions are provided. In the example, FDD operation is assumed and the bundling size is one of the divisors of the maximum number of repetitions. </w:t>
      </w:r>
    </w:p>
    <w:p>
      <w:pPr>
        <w:numPr>
          <w:ilvl w:val="255"/>
          <w:numId w:val="0"/>
        </w:numPr>
        <w:jc w:val="center"/>
      </w:pPr>
      <w:r>
        <w:drawing>
          <wp:inline distT="0" distB="0" distL="114300" distR="114300">
            <wp:extent cx="4441825" cy="227584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441825" cy="2275840"/>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Figure 2. Different inter-slot FH patterns in the time domain for PUSCH with 8 repetitions in FDD</w:t>
      </w:r>
    </w:p>
    <w:p>
      <w:pPr>
        <w:numPr>
          <w:ilvl w:val="255"/>
          <w:numId w:val="0"/>
        </w:numPr>
        <w:jc w:val="both"/>
        <w:rPr>
          <w:rFonts w:hint="eastAsia"/>
          <w:highlight w:val="none"/>
          <w:lang w:val="en-US" w:eastAsia="zh-CN"/>
        </w:rPr>
      </w:pPr>
      <w:r>
        <w:rPr>
          <w:rFonts w:hint="eastAsia"/>
          <w:highlight w:val="none"/>
          <w:lang w:val="en-US" w:eastAsia="zh-CN"/>
        </w:rPr>
        <w:t xml:space="preserve">In Figure 3, the performance of different inter-slot FH patterns in the time domain for PUSCH with 8 repetitions is provided. </w:t>
      </w:r>
    </w:p>
    <w:p>
      <w:pPr>
        <w:numPr>
          <w:ilvl w:val="255"/>
          <w:numId w:val="0"/>
        </w:numPr>
        <w:jc w:val="center"/>
        <w:rPr>
          <w:rFonts w:hint="default"/>
          <w:highlight w:val="yellow"/>
          <w:lang w:val="en-US" w:eastAsia="zh-CN"/>
        </w:rPr>
      </w:pPr>
      <w:r>
        <w:drawing>
          <wp:inline distT="0" distB="0" distL="114300" distR="114300">
            <wp:extent cx="5335905" cy="3788410"/>
            <wp:effectExtent l="4445" t="4445" r="6350" b="171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3</w:t>
      </w:r>
      <w:r>
        <w:rPr>
          <w:rFonts w:hint="eastAsia"/>
          <w:highlight w:val="none"/>
          <w:lang w:eastAsia="zh-CN"/>
        </w:rPr>
        <w:t>. Performance of</w:t>
      </w:r>
      <w:r>
        <w:rPr>
          <w:rFonts w:hint="eastAsia"/>
          <w:highlight w:val="none"/>
          <w:lang w:val="en-US" w:eastAsia="zh-CN"/>
        </w:rPr>
        <w:t xml:space="preserve"> different inter-slot FH patterns in the time domain for PUSCH with 8 repetitions</w:t>
      </w:r>
    </w:p>
    <w:p>
      <w:pPr>
        <w:numPr>
          <w:ilvl w:val="255"/>
          <w:numId w:val="0"/>
        </w:numPr>
        <w:rPr>
          <w:rFonts w:hint="eastAsia"/>
          <w:highlight w:val="none"/>
          <w:lang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3</w:t>
      </w:r>
      <w:r>
        <w:rPr>
          <w:rFonts w:hint="eastAsia"/>
          <w:highlight w:val="none"/>
          <w:lang w:eastAsia="zh-CN"/>
        </w:rPr>
        <w:t xml:space="preserve">, </w:t>
      </w:r>
      <w:r>
        <w:rPr>
          <w:rFonts w:hint="eastAsia"/>
          <w:highlight w:val="none"/>
          <w:lang w:val="en-US" w:eastAsia="zh-CN"/>
        </w:rPr>
        <w:t>the case with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4 can provide additional 2.66 dB, 1.38dB, 0.88dB and 0.78 dB gain over the case with baseline performance, legacy inter-slot FH, joint channel estimation while no inter-slot FH and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2 respectively in 700MHz rural scenario</w:t>
      </w:r>
      <w:r>
        <w:rPr>
          <w:rFonts w:hint="eastAsia"/>
          <w:highlight w:val="none"/>
          <w:lang w:eastAsia="zh-CN"/>
        </w:rPr>
        <w:t>.</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default"/>
          <w:i w:val="0"/>
          <w:iCs w:val="0"/>
          <w:highlight w:val="none"/>
          <w:lang w:val="en-US" w:eastAsia="zh-CN"/>
        </w:rPr>
      </w:pPr>
      <w:r>
        <w:rPr>
          <w:rFonts w:hint="eastAsia"/>
          <w:highlight w:val="none"/>
          <w:lang w:val="en-US" w:eastAsia="zh-CN"/>
        </w:rPr>
        <w:t xml:space="preserve">According to Figure 3, the case with FH for only one time, i.e., bundling size 4, provides the best performance. Thus, the bundling size can be implicitly determined by the number of repetitions </w:t>
      </w:r>
      <w:r>
        <w:rPr>
          <w:rFonts w:hint="eastAsia"/>
          <w:i/>
          <w:iCs/>
          <w:highlight w:val="none"/>
          <w:lang w:val="en-US" w:eastAsia="zh-CN"/>
        </w:rPr>
        <w:t xml:space="preserve">K </w:t>
      </w:r>
      <w:r>
        <w:rPr>
          <w:rFonts w:hint="eastAsia"/>
          <w:i w:val="0"/>
          <w:iCs w:val="0"/>
          <w:highlight w:val="none"/>
          <w:lang w:val="en-US" w:eastAsia="zh-CN"/>
        </w:rPr>
        <w:t>within one actual time domain window</w:t>
      </w:r>
      <w:r>
        <w:rPr>
          <w:rFonts w:hint="eastAsia"/>
          <w:highlight w:val="none"/>
          <w:lang w:val="en-US" w:eastAsia="zh-CN"/>
        </w:rPr>
        <w:t xml:space="preserve">, e.g.,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cell(K/2).</w:t>
      </w:r>
      <w:r>
        <w:rPr>
          <w:rFonts w:hint="eastAsia"/>
          <w:highlight w:val="none"/>
          <w:lang w:val="en-US" w:eastAsia="zh-CN"/>
        </w:rPr>
        <w:t xml:space="preserve"> For TDD case, the bundling size could be the same as the actual time domain window size. </w:t>
      </w:r>
      <w:r>
        <w:rPr>
          <w:rFonts w:hint="eastAsia"/>
          <w:i w:val="0"/>
          <w:iCs w:val="0"/>
          <w:highlight w:val="none"/>
          <w:lang w:val="en-US" w:eastAsia="zh-CN"/>
        </w:rPr>
        <w:t xml:space="preserve">Overall, the </w:t>
      </w:r>
      <w:r>
        <w:rPr>
          <w:rFonts w:hint="eastAsia"/>
          <w:b w:val="0"/>
          <w:bCs w:val="0"/>
          <w:i w:val="0"/>
          <w:iCs w:val="0"/>
          <w:highlight w:val="none"/>
          <w:lang w:val="en-US" w:eastAsia="zh-CN"/>
        </w:rPr>
        <w:t xml:space="preserve">inter-slot bundling size for inter-slot FH is no larger than the actual time domain window size. </w:t>
      </w:r>
    </w:p>
    <w:p>
      <w:pPr>
        <w:numPr>
          <w:ilvl w:val="255"/>
          <w:numId w:val="0"/>
        </w:numPr>
        <w:rPr>
          <w:rFonts w:hint="eastAsia"/>
          <w:b/>
          <w:bCs/>
          <w:i/>
          <w:iCs/>
          <w:highlight w:val="none"/>
          <w:lang w:eastAsia="zh-CN"/>
        </w:rPr>
      </w:pPr>
      <w:r>
        <w:rPr>
          <w:rFonts w:hint="eastAsia"/>
          <w:highlight w:val="none"/>
          <w:lang w:val="en-US" w:eastAsia="zh-CN"/>
        </w:rPr>
        <w:t xml:space="preserve">However, under different scenarios, e.g., different UE speed or different number of receiving antennas, it may need to use different bundling sizes for better performance. Thus, it may also desirable to make the bundling size configurable by RRC or even dynamically indicated by DCI.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0"/>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within one actual time domain window . </w:t>
      </w:r>
    </w:p>
    <w:p>
      <w:pPr>
        <w:numPr>
          <w:ilvl w:val="0"/>
          <w:numId w:val="20"/>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pStyle w:val="3"/>
        <w:bidi w:val="0"/>
        <w:rPr>
          <w:rFonts w:hint="eastAsia" w:cs="Times New Roman"/>
          <w:lang w:val="en-US" w:eastAsia="zh-CN"/>
        </w:rPr>
      </w:pPr>
      <w:r>
        <w:rPr>
          <w:rFonts w:hint="eastAsia" w:cs="Times New Roman"/>
          <w:lang w:val="en-US" w:eastAsia="zh-CN"/>
        </w:rPr>
        <w:t>Joint channel estimation for CA case</w:t>
      </w:r>
    </w:p>
    <w:p>
      <w:pPr>
        <w:overflowPunct/>
        <w:autoSpaceDE/>
        <w:autoSpaceDN/>
        <w:adjustRightInd/>
        <w:spacing w:after="0" w:line="240" w:lineRule="auto"/>
        <w:ind w:left="0"/>
        <w:jc w:val="both"/>
        <w:textAlignment w:val="auto"/>
        <w:rPr>
          <w:rFonts w:hint="eastAsia"/>
          <w:lang w:val="en-US" w:eastAsia="zh-CN"/>
        </w:rPr>
      </w:pPr>
      <w:r>
        <w:rPr>
          <w:lang w:val="en-GB" w:eastAsia="zh-CN"/>
        </w:rPr>
        <w:t>In R</w:t>
      </w:r>
      <w:r>
        <w:rPr>
          <w:rFonts w:hint="eastAsia"/>
          <w:lang w:val="en-US" w:eastAsia="zh-CN"/>
        </w:rPr>
        <w:t>el-</w:t>
      </w:r>
      <w:r>
        <w:rPr>
          <w:lang w:val="en-GB" w:eastAsia="zh-CN"/>
        </w:rPr>
        <w:t>16,</w:t>
      </w:r>
      <w:r>
        <w:t xml:space="preserve"> </w:t>
      </w:r>
      <w:r>
        <w:rPr>
          <w:rFonts w:hint="eastAsia"/>
          <w:lang w:val="en-US" w:eastAsia="zh-CN"/>
        </w:rPr>
        <w:t xml:space="preserve">1Tx-2Tx </w:t>
      </w:r>
      <w:r>
        <w:rPr>
          <w:lang w:val="en-GB" w:eastAsia="zh-CN"/>
        </w:rPr>
        <w:t>dynamic switching mechanisms between case 1 and case 2 have been specified for inter-band EN-DC without SUL, inter-band UL CA and standalone SUL</w:t>
      </w:r>
      <w:r>
        <w:rPr>
          <w:rFonts w:hint="eastAsia"/>
          <w:lang w:val="en-US" w:eastAsia="zh-CN"/>
        </w:rPr>
        <w:t xml:space="preserve">, as </w:t>
      </w:r>
      <w:r>
        <w:rPr>
          <w:lang w:val="en-GB" w:eastAsia="zh-CN"/>
        </w:rPr>
        <w:t xml:space="preserve">shown in </w:t>
      </w:r>
      <w:r>
        <w:rPr>
          <w:rFonts w:hint="eastAsia"/>
          <w:lang w:val="en-US" w:eastAsia="zh-CN"/>
        </w:rPr>
        <w:t>T</w:t>
      </w:r>
      <w:r>
        <w:rPr>
          <w:lang w:val="en-GB" w:eastAsia="zh-CN"/>
        </w:rPr>
        <w:t>able 1</w:t>
      </w:r>
      <w:r>
        <w:rPr>
          <w:rFonts w:hint="eastAsia"/>
          <w:lang w:val="en-US" w:eastAsia="zh-CN"/>
        </w:rPr>
        <w:t xml:space="preserve"> </w:t>
      </w:r>
      <w:r>
        <w:rPr>
          <w:lang w:val="en-GB" w:eastAsia="zh-CN"/>
        </w:rPr>
        <w:t>below</w:t>
      </w:r>
      <w:r>
        <w:rPr>
          <w:rFonts w:hint="eastAsia"/>
          <w:lang w:val="en-US" w:eastAsia="zh-CN"/>
        </w:rPr>
        <w:t>. More specifically, two options are supported for Tx switching among two carriers as shown in Appendix-2. In addition, 2Tx-2Tx switching among two/three carriers in two bands are also under discussion in Rel-17.</w:t>
      </w:r>
    </w:p>
    <w:p>
      <w:pPr>
        <w:overflowPunct/>
        <w:autoSpaceDE/>
        <w:autoSpaceDN/>
        <w:adjustRightInd/>
        <w:spacing w:after="0" w:line="240" w:lineRule="auto"/>
        <w:jc w:val="both"/>
        <w:textAlignment w:val="auto"/>
        <w:rPr>
          <w:rFonts w:ascii="Arial" w:hAnsi="Arial" w:eastAsia="宋体"/>
          <w:lang w:val="en-GB" w:eastAsia="zh-CN"/>
        </w:rPr>
      </w:pPr>
    </w:p>
    <w:p>
      <w:pPr>
        <w:overflowPunct/>
        <w:autoSpaceDE/>
        <w:autoSpaceDN/>
        <w:adjustRightInd/>
        <w:spacing w:after="0" w:line="240" w:lineRule="auto"/>
        <w:ind w:left="57"/>
        <w:jc w:val="center"/>
        <w:textAlignment w:val="auto"/>
        <w:rPr>
          <w:rFonts w:hint="default" w:ascii="Times New Roman" w:hAnsi="Times New Roman" w:eastAsia="宋体" w:cs="Times New Roman"/>
          <w:i/>
        </w:rPr>
      </w:pPr>
      <w:r>
        <w:rPr>
          <w:rFonts w:hint="default" w:ascii="Times New Roman" w:hAnsi="Times New Roman" w:eastAsia="宋体" w:cs="Times New Roman"/>
          <w:lang w:val="en-GB" w:eastAsia="zh-CN"/>
        </w:rPr>
        <w:t>Table 1 two uplink carrier switching cases from the aspect of RF TX chain</w:t>
      </w:r>
    </w:p>
    <w:tbl>
      <w:tblPr>
        <w:tblStyle w:val="50"/>
        <w:tblW w:w="6040" w:type="dxa"/>
        <w:jc w:val="center"/>
        <w:tblLayout w:type="autofit"/>
        <w:tblCellMar>
          <w:top w:w="0" w:type="dxa"/>
          <w:left w:w="0" w:type="dxa"/>
          <w:bottom w:w="0" w:type="dxa"/>
          <w:right w:w="0" w:type="dxa"/>
        </w:tblCellMar>
      </w:tblPr>
      <w:tblGrid>
        <w:gridCol w:w="1400"/>
        <w:gridCol w:w="4640"/>
      </w:tblGrid>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1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1 Tx on carrier 1 and 1 Tx on carrier 2</w:t>
            </w:r>
          </w:p>
        </w:tc>
      </w:tr>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2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0 Tx on carrier 1 and 2 Tx on carrier 2 </w:t>
            </w:r>
          </w:p>
        </w:tc>
      </w:tr>
    </w:tbl>
    <w:p>
      <w:pPr>
        <w:keepNext w:val="0"/>
        <w:keepLines w:val="0"/>
        <w:pageBreakBefore w:val="0"/>
        <w:widowControl/>
        <w:kinsoku/>
        <w:wordWrap/>
        <w:overflowPunct/>
        <w:topLinePunct w:val="0"/>
        <w:autoSpaceDE/>
        <w:autoSpaceDN/>
        <w:bidi w:val="0"/>
        <w:adjustRightInd/>
        <w:snapToGrid w:val="0"/>
        <w:spacing w:before="137" w:beforeLines="50" w:after="0" w:line="240" w:lineRule="auto"/>
        <w:ind w:left="0"/>
        <w:jc w:val="both"/>
        <w:textAlignment w:val="auto"/>
        <w:rPr>
          <w:rFonts w:hint="default"/>
          <w:lang w:val="en-US" w:eastAsia="zh-CN"/>
        </w:rPr>
      </w:pPr>
      <w:r>
        <w:rPr>
          <w:rFonts w:hint="eastAsia"/>
          <w:lang w:val="en-US" w:eastAsia="zh-CN"/>
        </w:rPr>
        <w:t xml:space="preserve">An example is shown in Figure 4, where there are two inter-band carriers with unaligned frame boundary. This is one main important deployment scenario requested by operators and supported in Rel-16. As can be observed, more UL transmission occasions can be obtained in such case, which can boost UL coverage for TDD under CA case . </w: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r>
        <w:drawing>
          <wp:inline distT="0" distB="0" distL="114300" distR="114300">
            <wp:extent cx="5469890" cy="12071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5469890" cy="1207135"/>
                    </a:xfrm>
                    <a:prstGeom prst="rect">
                      <a:avLst/>
                    </a:prstGeom>
                    <a:noFill/>
                    <a:ln>
                      <a:noFill/>
                    </a:ln>
                  </pic:spPr>
                </pic:pic>
              </a:graphicData>
            </a:graphic>
          </wp:inline>
        </w:drawing>
      </w:r>
    </w:p>
    <w:p>
      <w:pPr>
        <w:jc w:val="center"/>
        <w:rPr>
          <w:rFonts w:hint="eastAsia" w:cs="Times New Roman"/>
          <w:color w:val="auto"/>
          <w:lang w:val="en-US" w:eastAsia="zh-CN"/>
        </w:rPr>
      </w:pPr>
      <w:r>
        <w:rPr>
          <w:rFonts w:hint="eastAsia"/>
          <w:highlight w:val="none"/>
          <w:lang w:val="en-US" w:eastAsia="zh-CN"/>
        </w:rPr>
        <w:t xml:space="preserve">Figure 4. </w:t>
      </w:r>
      <w:r>
        <w:rPr>
          <w:rFonts w:hint="eastAsia"/>
          <w:color w:val="auto"/>
          <w:lang w:val="en-US" w:eastAsia="zh-CN"/>
        </w:rPr>
        <w:t>Tx</w:t>
      </w:r>
      <w:r>
        <w:rPr>
          <w:rFonts w:hint="eastAsia" w:ascii="Times New Roman" w:hAnsi="Times New Roman" w:cs="Times New Roman"/>
          <w:color w:val="auto"/>
          <w:lang w:val="en-US" w:eastAsia="zh-CN"/>
        </w:rPr>
        <w:t xml:space="preserve"> switching </w:t>
      </w:r>
      <w:r>
        <w:rPr>
          <w:rFonts w:hint="eastAsia" w:cs="Times New Roman"/>
          <w:color w:val="auto"/>
          <w:lang w:val="en-US" w:eastAsia="zh-CN"/>
        </w:rPr>
        <w:t xml:space="preserve">with unaligned frame boundary for </w:t>
      </w:r>
      <w:r>
        <w:rPr>
          <w:rFonts w:hint="eastAsia" w:ascii="Times New Roman" w:hAnsi="Times New Roman" w:cs="Times New Roman"/>
          <w:color w:val="auto"/>
          <w:lang w:val="en-US" w:eastAsia="zh-CN"/>
        </w:rPr>
        <w:t>CA</w:t>
      </w:r>
    </w:p>
    <w:p>
      <w:pPr>
        <w:jc w:val="both"/>
        <w:rPr>
          <w:rFonts w:hint="default" w:cs="Times New Roman"/>
          <w:color w:val="auto"/>
          <w:lang w:val="en-US" w:eastAsia="zh-CN"/>
        </w:rPr>
      </w:pPr>
      <w:r>
        <w:rPr>
          <w:rFonts w:hint="eastAsia" w:cs="Times New Roman"/>
          <w:color w:val="auto"/>
          <w:lang w:val="en-US" w:eastAsia="zh-CN"/>
        </w:rPr>
        <w:t xml:space="preserve">In Figure 5, the performance comparison between single carrier case and two carriers with Tx switching is provided. As can be observed, two carriers with Tx switching can provide about 3 dB gain compared to using single carrier case.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jc w:val="center"/>
        <w:rPr>
          <w:rFonts w:hint="eastAsia"/>
          <w:b w:val="0"/>
          <w:bCs w:val="0"/>
          <w:i w:val="0"/>
          <w:iCs w:val="0"/>
          <w:lang w:val="en-US" w:eastAsia="zh-CN"/>
        </w:rPr>
      </w:pPr>
      <w:r>
        <w:drawing>
          <wp:inline distT="0" distB="0" distL="114300" distR="114300">
            <wp:extent cx="4574540" cy="2743835"/>
            <wp:effectExtent l="4445" t="4445" r="12065" b="13970"/>
            <wp:docPr id="11"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eastAsia"/>
          <w:lang w:val="en-US" w:eastAsia="zh-CN"/>
        </w:rPr>
      </w:pPr>
      <w:r>
        <w:rPr>
          <w:rFonts w:hint="eastAsia"/>
          <w:highlight w:val="none"/>
          <w:lang w:val="en-US" w:eastAsia="zh-CN"/>
        </w:rPr>
        <w:t>Figure 5</w:t>
      </w:r>
      <w:r>
        <w:rPr>
          <w:rFonts w:hint="eastAsia"/>
          <w:highlight w:val="none"/>
          <w:lang w:eastAsia="zh-CN"/>
        </w:rPr>
        <w:t>. Performance of</w:t>
      </w:r>
      <w:r>
        <w:rPr>
          <w:rFonts w:hint="eastAsia"/>
          <w:highlight w:val="none"/>
          <w:lang w:val="en-US" w:eastAsia="zh-CN"/>
        </w:rPr>
        <w:t xml:space="preserve"> PUSCH with </w:t>
      </w:r>
      <w:r>
        <w:rPr>
          <w:rFonts w:hint="eastAsia"/>
          <w:color w:val="auto"/>
          <w:lang w:val="en-US" w:eastAsia="zh-CN"/>
        </w:rPr>
        <w:t>s</w:t>
      </w:r>
      <w:r>
        <w:rPr>
          <w:rFonts w:hint="eastAsia" w:ascii="Times New Roman" w:hAnsi="Times New Roman" w:cs="Times New Roman"/>
          <w:color w:val="auto"/>
          <w:lang w:val="en-US" w:eastAsia="zh-CN"/>
        </w:rPr>
        <w:t xml:space="preserve">ingle carrier </w:t>
      </w:r>
      <w:r>
        <w:rPr>
          <w:rFonts w:hint="eastAsia" w:cs="Times New Roman"/>
          <w:color w:val="auto"/>
          <w:lang w:val="en-US" w:eastAsia="zh-CN"/>
        </w:rPr>
        <w:t xml:space="preserve">vs </w:t>
      </w:r>
      <w:r>
        <w:rPr>
          <w:rFonts w:hint="eastAsia"/>
          <w:color w:val="auto"/>
          <w:lang w:val="en-US" w:eastAsia="zh-CN"/>
        </w:rPr>
        <w:t xml:space="preserve">two </w:t>
      </w:r>
      <w:r>
        <w:rPr>
          <w:rFonts w:hint="eastAsia" w:ascii="Times New Roman" w:hAnsi="Times New Roman" w:cs="Times New Roman"/>
          <w:color w:val="auto"/>
          <w:lang w:val="en-US" w:eastAsia="zh-CN"/>
        </w:rPr>
        <w:t>carrier</w:t>
      </w:r>
      <w:r>
        <w:rPr>
          <w:rFonts w:hint="eastAsia" w:cs="Times New Roman"/>
          <w:color w:val="auto"/>
          <w:lang w:val="en-US" w:eastAsia="zh-CN"/>
        </w:rPr>
        <w:t>s with Tx</w:t>
      </w:r>
      <w:r>
        <w:rPr>
          <w:rFonts w:hint="eastAsia" w:ascii="Times New Roman" w:hAnsi="Times New Roman" w:cs="Times New Roman"/>
          <w:color w:val="auto"/>
          <w:lang w:val="en-US" w:eastAsia="zh-CN"/>
        </w:rPr>
        <w:t xml:space="preserve"> switching case under CA</w:t>
      </w:r>
    </w:p>
    <w:p>
      <w:pPr>
        <w:rPr>
          <w:rFonts w:hint="eastAsia"/>
          <w:lang w:val="en-US" w:eastAsia="zh-CN"/>
        </w:rPr>
      </w:pPr>
      <w:r>
        <w:rPr>
          <w:rFonts w:hint="eastAsia"/>
          <w:lang w:val="en-US" w:eastAsia="zh-CN"/>
        </w:rPr>
        <w:t xml:space="preserve">In case of aligned frame boundary for CA, it is also expected </w:t>
      </w:r>
      <w:r>
        <w:rPr>
          <w:rFonts w:hint="eastAsia"/>
          <w:b w:val="0"/>
          <w:bCs w:val="0"/>
          <w:i w:val="0"/>
          <w:iCs w:val="0"/>
          <w:lang w:val="en-US" w:eastAsia="zh-CN"/>
        </w:rPr>
        <w:t xml:space="preserve">UL coverage can be enhanced since </w:t>
      </w:r>
      <w:r>
        <w:rPr>
          <w:rFonts w:hint="eastAsia"/>
          <w:lang w:val="en-US" w:eastAsia="zh-CN"/>
        </w:rPr>
        <w:t xml:space="preserve">a UE can dynamically choose one carrier with better channel conditions for UL transmission. </w:t>
      </w:r>
    </w:p>
    <w:p>
      <w:pPr>
        <w:rPr>
          <w:rFonts w:hint="default"/>
          <w:b w:val="0"/>
          <w:bCs w:val="0"/>
          <w:i w:val="0"/>
          <w:iCs w:val="0"/>
          <w:lang w:val="en-US" w:eastAsia="zh-CN"/>
        </w:rPr>
      </w:pPr>
      <w:r>
        <w:rPr>
          <w:rFonts w:hint="eastAsia"/>
          <w:b w:val="0"/>
          <w:bCs w:val="0"/>
          <w:i w:val="0"/>
          <w:iCs w:val="0"/>
          <w:lang w:val="en-US" w:eastAsia="zh-CN"/>
        </w:rPr>
        <w:t xml:space="preserve">As analyzed above, UL CA is beneficial for UL coverage enhancement. Based on the requirements defined by RAN4 in [5] as copied below, the phase continuity can be kept for CA at least when PUSCH is only transmitted in one carrier at a given time. Therefore, we propose to support joint channel estimation for UL CA case.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adjustRightInd/>
              <w:spacing w:before="120" w:after="0" w:line="252" w:lineRule="auto"/>
              <w:textAlignment w:val="auto"/>
              <w:rPr>
                <w:rFonts w:hint="eastAsia"/>
                <w:b w:val="0"/>
                <w:bCs w:val="0"/>
                <w:i w:val="0"/>
                <w:iCs w:val="0"/>
                <w:vertAlign w:val="baseline"/>
                <w:lang w:val="en-US" w:eastAsia="zh-CN"/>
              </w:rPr>
            </w:pPr>
            <w:r>
              <w:rPr>
                <w:rFonts w:hint="eastAsia" w:hAnsi="宋体"/>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tc>
      </w:tr>
    </w:tbl>
    <w:p>
      <w:pPr>
        <w:rPr>
          <w:rFonts w:hint="default"/>
          <w:b w:val="0"/>
          <w:bCs w:val="0"/>
          <w:i w:val="0"/>
          <w:iCs w:val="0"/>
          <w:lang w:val="en-US" w:eastAsia="zh-CN"/>
        </w:rPr>
      </w:pPr>
    </w:p>
    <w:p>
      <w:pPr>
        <w:rPr>
          <w:rFonts w:hint="eastAsia" w:ascii="Times New Roman" w:hAnsi="Times New Roman" w:cs="Times New Roman"/>
          <w:b w:val="0"/>
          <w:bCs w:val="0"/>
          <w:lang w:val="en-US" w:eastAsia="zh-CN"/>
        </w:rPr>
      </w:pPr>
      <w:r>
        <w:rPr>
          <w:rFonts w:hint="eastAsia"/>
          <w:b/>
          <w:bCs/>
          <w:i/>
          <w:iCs/>
          <w:lang w:eastAsia="zh-CN"/>
        </w:rPr>
        <w:t xml:space="preserve">Proposal </w:t>
      </w:r>
      <w:r>
        <w:rPr>
          <w:rFonts w:hint="eastAsia"/>
          <w:b/>
          <w:bCs/>
          <w:i/>
          <w:iCs/>
          <w:lang w:val="en-US" w:eastAsia="zh-CN"/>
        </w:rPr>
        <w:t>10</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pStyle w:val="3"/>
        <w:bidi w:val="0"/>
        <w:rPr>
          <w:rFonts w:hint="default" w:cs="Times New Roman"/>
          <w:lang w:val="en-US" w:eastAsia="zh-CN"/>
        </w:rPr>
      </w:pPr>
      <w:r>
        <w:rPr>
          <w:rFonts w:hint="eastAsia" w:cs="Times New Roman"/>
          <w:lang w:val="en-US" w:eastAsia="zh-CN"/>
        </w:rPr>
        <w:t>Optimization of DMRS granularity in the time domain</w:t>
      </w:r>
    </w:p>
    <w:p>
      <w:pPr>
        <w:numPr>
          <w:ilvl w:val="0"/>
          <w:numId w:val="0"/>
        </w:numPr>
        <w:spacing w:before="120" w:line="280" w:lineRule="atLeast"/>
        <w:rPr>
          <w:rFonts w:hint="default"/>
          <w:color w:val="auto"/>
          <w:lang w:val="en-US" w:eastAsia="zh-CN"/>
        </w:rPr>
      </w:pPr>
      <w:r>
        <w:rPr>
          <w:rFonts w:hint="eastAsia"/>
          <w:lang w:val="en-US" w:eastAsia="zh-CN"/>
        </w:rPr>
        <w:t>It was concluded in RAN1#104-e that, f</w:t>
      </w:r>
      <w:r>
        <w:t xml:space="preserve">or optimization of DMRS granularity in time domain with joint channel estimation, </w:t>
      </w:r>
      <w:r>
        <w:rPr>
          <w:rFonts w:hint="eastAsia"/>
          <w:lang w:val="en-US" w:eastAsia="zh-CN"/>
        </w:rPr>
        <w:t>companies</w:t>
      </w:r>
      <w:r>
        <w:t xml:space="preserve"> are encouraged to provide more simulation results</w:t>
      </w:r>
      <w:r>
        <w:rPr>
          <w:rFonts w:hint="eastAsia"/>
          <w:lang w:val="en-US" w:eastAsia="zh-CN"/>
        </w:rPr>
        <w:t xml:space="preserve">. </w:t>
      </w:r>
      <w:r>
        <w:rPr>
          <w:rFonts w:hint="eastAsia"/>
          <w:color w:val="auto"/>
          <w:lang w:val="en-US" w:eastAsia="zh-CN"/>
        </w:rPr>
        <w:t xml:space="preserve">In the following, we first evaluate whether there is clear performance gain for DMRS </w:t>
      </w:r>
      <w:r>
        <w:rPr>
          <w:color w:val="auto"/>
        </w:rPr>
        <w:t>optimization</w:t>
      </w:r>
      <w:r>
        <w:rPr>
          <w:rFonts w:hint="eastAsia"/>
          <w:color w:val="auto"/>
          <w:lang w:val="en-US" w:eastAsia="zh-CN"/>
        </w:rPr>
        <w:t>, and then provide our views for minimizing the specification impacts.</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In Figure </w:t>
      </w:r>
      <w:r>
        <w:rPr>
          <w:rFonts w:hint="eastAsia" w:cs="Times New Roman"/>
          <w:color w:val="auto"/>
          <w:lang w:val="en-US" w:eastAsia="zh-CN"/>
        </w:rPr>
        <w:t>6</w:t>
      </w:r>
      <w:r>
        <w:rPr>
          <w:rFonts w:hint="eastAsia" w:ascii="Times New Roman" w:hAnsi="Times New Roman" w:cs="Times New Roman"/>
          <w:color w:val="auto"/>
          <w:lang w:val="en-US" w:eastAsia="zh-CN"/>
        </w:rPr>
        <w:t xml:space="preserve">, different DMRS patterns in the time domain for PUSCH with 8 repetitions are provided. </w:t>
      </w:r>
    </w:p>
    <w:p>
      <w:pPr>
        <w:numPr>
          <w:ilvl w:val="0"/>
          <w:numId w:val="21"/>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1: 1 DMRS symbol in each repetition</w:t>
      </w:r>
    </w:p>
    <w:p>
      <w:pPr>
        <w:numPr>
          <w:ilvl w:val="0"/>
          <w:numId w:val="21"/>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2: 2 DMRS symbols in each repetition</w:t>
      </w:r>
    </w:p>
    <w:p>
      <w:pPr>
        <w:numPr>
          <w:ilvl w:val="0"/>
          <w:numId w:val="21"/>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3: 1 DMRS symbol in every two repetitions </w:t>
      </w:r>
    </w:p>
    <w:p>
      <w:pPr>
        <w:numPr>
          <w:ilvl w:val="0"/>
          <w:numId w:val="21"/>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4: 2 DMRS symbols in every two repetitions </w:t>
      </w:r>
    </w:p>
    <w:p>
      <w:pPr>
        <w:rPr>
          <w:rFonts w:hint="default"/>
          <w:color w:val="auto"/>
          <w:highlight w:val="yellow"/>
          <w:lang w:val="en-US" w:eastAsia="zh-CN"/>
        </w:rPr>
      </w:pPr>
    </w:p>
    <w:p>
      <w:r>
        <w:drawing>
          <wp:inline distT="0" distB="0" distL="114300" distR="114300">
            <wp:extent cx="6112510" cy="17773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12510" cy="1777365"/>
                    </a:xfrm>
                    <a:prstGeom prst="rect">
                      <a:avLst/>
                    </a:prstGeom>
                    <a:noFill/>
                    <a:ln>
                      <a:noFill/>
                    </a:ln>
                  </pic:spPr>
                </pic:pic>
              </a:graphicData>
            </a:graphic>
          </wp:inline>
        </w:drawing>
      </w:r>
    </w:p>
    <w:p>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Figure </w:t>
      </w:r>
      <w:r>
        <w:rPr>
          <w:rFonts w:hint="eastAsia" w:cs="Times New Roman"/>
          <w:color w:val="auto"/>
          <w:lang w:val="en-US" w:eastAsia="zh-CN"/>
        </w:rPr>
        <w:t>6.</w:t>
      </w:r>
      <w:r>
        <w:rPr>
          <w:rFonts w:hint="eastAsia" w:ascii="Times New Roman" w:hAnsi="Times New Roman" w:cs="Times New Roman"/>
          <w:color w:val="auto"/>
          <w:lang w:val="en-US" w:eastAsia="zh-CN"/>
        </w:rPr>
        <w:t xml:space="preserve"> Different DMRS patterns in the time domain for PUSCH with 8 repetitions</w:t>
      </w:r>
    </w:p>
    <w:p>
      <w:pPr>
        <w:rPr>
          <w:rFonts w:hint="eastAsia"/>
          <w:lang w:val="en-US" w:eastAsia="zh-CN"/>
        </w:rPr>
      </w:pPr>
      <w:r>
        <w:rPr>
          <w:rFonts w:hint="eastAsia"/>
          <w:lang w:val="en-US" w:eastAsia="zh-CN"/>
        </w:rPr>
        <w:t xml:space="preserve">Based on the four </w:t>
      </w:r>
      <w:r>
        <w:rPr>
          <w:rFonts w:hint="default"/>
          <w:lang w:val="en-US" w:eastAsia="zh-CN"/>
        </w:rPr>
        <w:t>DMRS patterns</w:t>
      </w:r>
      <w:r>
        <w:rPr>
          <w:rFonts w:hint="eastAsia"/>
          <w:lang w:val="en-US" w:eastAsia="zh-CN"/>
        </w:rPr>
        <w:t xml:space="preserve"> above,</w:t>
      </w:r>
      <w:r>
        <w:rPr>
          <w:rFonts w:hint="default"/>
          <w:lang w:val="en-US" w:eastAsia="zh-CN"/>
        </w:rPr>
        <w:t xml:space="preserve"> </w:t>
      </w:r>
      <w:r>
        <w:rPr>
          <w:rFonts w:hint="eastAsia"/>
          <w:lang w:val="en-US" w:eastAsia="zh-CN"/>
        </w:rPr>
        <w:t xml:space="preserve">the following 6 cases are considered depending on whether cross-slot joint channel estimation is applied or not. The detailed simulation assumptions are provided in Table A-2 in the appendix. </w:t>
      </w:r>
    </w:p>
    <w:p>
      <w:pPr>
        <w:numPr>
          <w:ilvl w:val="0"/>
          <w:numId w:val="22"/>
        </w:numPr>
        <w:ind w:left="840" w:leftChars="0" w:hanging="420" w:firstLineChars="0"/>
        <w:rPr>
          <w:rFonts w:hint="eastAsia"/>
          <w:lang w:val="en-US" w:eastAsia="zh-CN"/>
        </w:rPr>
      </w:pPr>
      <w:r>
        <w:rPr>
          <w:rFonts w:hint="eastAsia"/>
          <w:lang w:val="en-US" w:eastAsia="zh-CN"/>
        </w:rPr>
        <w:t>Case 1: DMRS pattern 1 without joint channel estimation.</w:t>
      </w:r>
    </w:p>
    <w:p>
      <w:pPr>
        <w:numPr>
          <w:ilvl w:val="0"/>
          <w:numId w:val="22"/>
        </w:numPr>
        <w:ind w:left="840" w:leftChars="0" w:hanging="420" w:firstLineChars="0"/>
        <w:rPr>
          <w:rFonts w:hint="eastAsia"/>
          <w:lang w:val="en-US" w:eastAsia="zh-CN"/>
        </w:rPr>
      </w:pPr>
      <w:r>
        <w:rPr>
          <w:rFonts w:hint="eastAsia"/>
          <w:lang w:val="en-US" w:eastAsia="zh-CN"/>
        </w:rPr>
        <w:t>Case 2: DMRS pattern 2 without joint channel estimation.</w:t>
      </w:r>
    </w:p>
    <w:p>
      <w:pPr>
        <w:numPr>
          <w:ilvl w:val="0"/>
          <w:numId w:val="22"/>
        </w:numPr>
        <w:ind w:left="840" w:leftChars="0" w:hanging="420" w:firstLineChars="0"/>
        <w:rPr>
          <w:rFonts w:hint="eastAsia"/>
          <w:lang w:val="en-US" w:eastAsia="zh-CN"/>
        </w:rPr>
      </w:pPr>
      <w:r>
        <w:rPr>
          <w:rFonts w:hint="eastAsia"/>
          <w:lang w:val="en-US" w:eastAsia="zh-CN"/>
        </w:rPr>
        <w:t>Case 3: DMRS pattern 1 with joint channel estimation.</w:t>
      </w:r>
    </w:p>
    <w:p>
      <w:pPr>
        <w:numPr>
          <w:ilvl w:val="0"/>
          <w:numId w:val="22"/>
        </w:numPr>
        <w:ind w:left="840" w:leftChars="0" w:hanging="420" w:firstLineChars="0"/>
        <w:rPr>
          <w:rFonts w:hint="eastAsia"/>
          <w:lang w:val="en-US" w:eastAsia="zh-CN"/>
        </w:rPr>
      </w:pPr>
      <w:r>
        <w:rPr>
          <w:rFonts w:hint="eastAsia"/>
          <w:lang w:val="en-US" w:eastAsia="zh-CN"/>
        </w:rPr>
        <w:t>Case 4: DMRS pattern 2 with joint channel estimation.</w:t>
      </w:r>
    </w:p>
    <w:p>
      <w:pPr>
        <w:numPr>
          <w:ilvl w:val="0"/>
          <w:numId w:val="22"/>
        </w:numPr>
        <w:ind w:left="840" w:leftChars="0" w:hanging="420" w:firstLineChars="0"/>
        <w:rPr>
          <w:rFonts w:hint="eastAsia"/>
          <w:lang w:val="en-US" w:eastAsia="zh-CN"/>
        </w:rPr>
      </w:pPr>
      <w:r>
        <w:rPr>
          <w:rFonts w:hint="eastAsia"/>
          <w:lang w:val="en-US" w:eastAsia="zh-CN"/>
        </w:rPr>
        <w:t>Case 5: DMRS pattern 3 with joint channel estimation.</w:t>
      </w:r>
    </w:p>
    <w:p>
      <w:pPr>
        <w:numPr>
          <w:ilvl w:val="0"/>
          <w:numId w:val="22"/>
        </w:numPr>
        <w:ind w:left="840" w:leftChars="0" w:hanging="420" w:firstLineChars="0"/>
        <w:rPr>
          <w:rFonts w:hint="eastAsia"/>
          <w:color w:val="auto"/>
          <w:lang w:val="en-US" w:eastAsia="zh-CN"/>
        </w:rPr>
      </w:pPr>
      <w:r>
        <w:rPr>
          <w:rFonts w:hint="eastAsia"/>
          <w:lang w:val="en-US" w:eastAsia="zh-CN"/>
        </w:rPr>
        <w:t>Case 6: DMRS pattern 4 with joint channel estimation.</w:t>
      </w:r>
    </w:p>
    <w:p>
      <w:pPr>
        <w:jc w:val="both"/>
        <w:rPr>
          <w:rFonts w:hint="default"/>
          <w:highlight w:val="none"/>
          <w:lang w:val="en-US" w:eastAsia="zh-CN"/>
        </w:rPr>
      </w:pPr>
      <w:r>
        <w:rPr>
          <w:rFonts w:hint="eastAsia"/>
          <w:highlight w:val="none"/>
          <w:lang w:val="en-US" w:eastAsia="zh-CN"/>
        </w:rPr>
        <w:t xml:space="preserve">In Figure 7, the performance of different DMRS patterns w/ or w/o joint channel estimation is given. Residual frequency error (RFE) is considered in all the simulation cases in Figure 7. </w:t>
      </w:r>
    </w:p>
    <w:p>
      <w:pPr>
        <w:jc w:val="center"/>
      </w:pPr>
      <w:r>
        <w:drawing>
          <wp:inline distT="0" distB="0" distL="114300" distR="114300">
            <wp:extent cx="5245100" cy="4104005"/>
            <wp:effectExtent l="4445" t="4445" r="8255" b="6350"/>
            <wp:docPr id="10"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7</w:t>
      </w:r>
      <w:r>
        <w:rPr>
          <w:rFonts w:hint="eastAsia"/>
          <w:highlight w:val="none"/>
          <w:lang w:eastAsia="zh-CN"/>
        </w:rPr>
        <w:t>. Performance of</w:t>
      </w:r>
      <w:r>
        <w:rPr>
          <w:rFonts w:hint="eastAsia"/>
          <w:highlight w:val="none"/>
          <w:lang w:val="en-US" w:eastAsia="zh-CN"/>
        </w:rPr>
        <w:t xml:space="preserve"> 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 for PUSCH with 8 repetitions</w:t>
      </w:r>
    </w:p>
    <w:p>
      <w:pPr>
        <w:numPr>
          <w:ilvl w:val="255"/>
          <w:numId w:val="0"/>
        </w:numPr>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7</w:t>
      </w:r>
      <w:r>
        <w:rPr>
          <w:rFonts w:hint="eastAsia"/>
          <w:highlight w:val="none"/>
          <w:lang w:eastAsia="zh-CN"/>
        </w:rPr>
        <w:t xml:space="preserve">, </w:t>
      </w:r>
      <w:r>
        <w:rPr>
          <w:rFonts w:hint="eastAsia"/>
          <w:highlight w:val="none"/>
          <w:lang w:val="en-US" w:eastAsia="zh-CN"/>
        </w:rPr>
        <w:t xml:space="preserve">Case 6 can provide additional 2.52 dB, 2.43 dB, 0.15 dB, 0.81 dB and 0.87 dB gain over the Case 1, Case 2, Case 3, Case4 and Case 5 respectively in 700MHz Rural scenario </w:t>
      </w:r>
      <w:r>
        <w:rPr>
          <w:rFonts w:hint="eastAsia"/>
          <w:lang w:val="en-US" w:eastAsia="zh-CN"/>
        </w:rPr>
        <w:t>at target BLER 0.1.</w:t>
      </w:r>
    </w:p>
    <w:p>
      <w:pPr>
        <w:numPr>
          <w:ilvl w:val="255"/>
          <w:numId w:val="0"/>
        </w:numPr>
        <w:rPr>
          <w:rFonts w:hint="eastAsia"/>
          <w:i/>
          <w:iCs/>
          <w:color w:val="auto"/>
          <w:lang w:val="en-US" w:eastAsia="zh-CN"/>
        </w:rPr>
      </w:pPr>
      <w:r>
        <w:rPr>
          <w:rFonts w:hint="eastAsia"/>
          <w:b/>
          <w:bCs/>
          <w:i/>
          <w:iCs/>
          <w:highlight w:val="none"/>
          <w:lang w:val="en-US" w:eastAsia="zh-CN"/>
        </w:rPr>
        <w:t xml:space="preserve">Observation 3: </w:t>
      </w:r>
      <w:r>
        <w:rPr>
          <w:rFonts w:hint="eastAsia"/>
          <w:i/>
          <w:iCs/>
          <w:color w:val="auto"/>
          <w:lang w:val="en-US" w:eastAsia="zh-CN"/>
        </w:rPr>
        <w:t>O</w:t>
      </w:r>
      <w:r>
        <w:rPr>
          <w:i/>
          <w:iCs/>
          <w:color w:val="auto"/>
        </w:rPr>
        <w:t xml:space="preserve">ptimization of DMRS 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can provide 0.15~2.52 dB gain for PUSCH repetitions in </w:t>
      </w:r>
      <w:r>
        <w:rPr>
          <w:rFonts w:hint="eastAsia"/>
          <w:i/>
          <w:iCs/>
          <w:highlight w:val="none"/>
          <w:lang w:val="en-US" w:eastAsia="zh-CN"/>
        </w:rPr>
        <w:t>700MHz Rural</w:t>
      </w:r>
      <w:r>
        <w:rPr>
          <w:rFonts w:hint="eastAsia"/>
          <w:highlight w:val="none"/>
          <w:lang w:val="en-US" w:eastAsia="zh-CN"/>
        </w:rPr>
        <w:t xml:space="preserve"> </w:t>
      </w:r>
      <w:r>
        <w:rPr>
          <w:rFonts w:hint="eastAsia"/>
          <w:i/>
          <w:iCs/>
          <w:color w:val="auto"/>
          <w:lang w:val="en-US" w:eastAsia="zh-CN"/>
        </w:rPr>
        <w:t xml:space="preserve">scenario. </w:t>
      </w:r>
    </w:p>
    <w:p>
      <w:pPr>
        <w:numPr>
          <w:ilvl w:val="255"/>
          <w:numId w:val="0"/>
        </w:numPr>
        <w:rPr>
          <w:rFonts w:hint="eastAsia"/>
          <w:color w:val="auto"/>
          <w:lang w:val="en-US" w:eastAsia="zh-CN"/>
        </w:rPr>
      </w:pPr>
      <w:r>
        <w:rPr>
          <w:rFonts w:hint="eastAsia"/>
          <w:i w:val="0"/>
          <w:iCs w:val="0"/>
          <w:color w:val="auto"/>
          <w:lang w:val="en-US" w:eastAsia="zh-CN"/>
        </w:rPr>
        <w:t xml:space="preserve">To minimize the </w:t>
      </w:r>
      <w:r>
        <w:rPr>
          <w:rFonts w:hint="eastAsia"/>
          <w:color w:val="auto"/>
          <w:lang w:val="en-US" w:eastAsia="zh-CN"/>
        </w:rPr>
        <w:t xml:space="preserve">specification efforts, DMRS optimization should be limited to certain UE features. For instance, DMRS optimization is only applied for PUSCH repetition type A. This could avoid lots of discussion on how to design the DMRS due to different segmentation cases for PUSCH repetition type B. In addition, DMRS pattern should not be changed in each repetition. In other words, it should only focus on DMRS optimization among different repetitions, e.g., DMRS may not present in all repetitions. Other limitations, if any, could also be considered. </w:t>
      </w:r>
    </w:p>
    <w:p>
      <w:pPr>
        <w:numPr>
          <w:ilvl w:val="255"/>
          <w:numId w:val="0"/>
        </w:numPr>
        <w:rPr>
          <w:rFonts w:hint="eastAsia"/>
          <w:color w:val="auto"/>
          <w:lang w:val="en-US" w:eastAsia="zh-CN"/>
        </w:rPr>
      </w:pPr>
      <w:r>
        <w:rPr>
          <w:rFonts w:hint="eastAsia"/>
          <w:color w:val="auto"/>
          <w:lang w:val="en-US" w:eastAsia="zh-CN"/>
        </w:rPr>
        <w:t xml:space="preserve">In addition, the above discussed PUSCH repetition bundling for inter-slot FH could be considered to apply for DMRS optimization. For instance, DMRS optimization is based on each bundle, and DMRS pattern is the same among different bundles.  </w:t>
      </w:r>
    </w:p>
    <w:p>
      <w:pPr>
        <w:numPr>
          <w:ilvl w:val="255"/>
          <w:numId w:val="0"/>
        </w:numPr>
        <w:rPr>
          <w:rFonts w:hint="default"/>
          <w:color w:val="auto"/>
          <w:lang w:val="en-US" w:eastAsia="zh-CN"/>
        </w:rPr>
      </w:pPr>
      <w:r>
        <w:rPr>
          <w:rFonts w:hint="eastAsia"/>
          <w:color w:val="auto"/>
          <w:lang w:val="en-US" w:eastAsia="zh-CN"/>
        </w:rPr>
        <w:t xml:space="preserve">With discussion above, we have the following proposal. </w:t>
      </w:r>
    </w:p>
    <w:p>
      <w:pPr>
        <w:numPr>
          <w:ilvl w:val="255"/>
          <w:numId w:val="0"/>
        </w:numPr>
        <w:rPr>
          <w:rFonts w:hint="default"/>
          <w:i/>
          <w:iCs/>
          <w:color w:val="auto"/>
          <w:lang w:val="en-US" w:eastAsia="zh-CN"/>
        </w:rPr>
      </w:pPr>
      <w:r>
        <w:rPr>
          <w:rFonts w:hint="eastAsia"/>
          <w:b/>
          <w:bCs/>
          <w:i/>
          <w:iCs/>
          <w:lang w:eastAsia="zh-CN"/>
        </w:rPr>
        <w:t xml:space="preserve">Proposal </w:t>
      </w:r>
      <w:r>
        <w:rPr>
          <w:rFonts w:hint="eastAsia"/>
          <w:b/>
          <w:bCs/>
          <w:i/>
          <w:iCs/>
          <w:lang w:val="en-US" w:eastAsia="zh-CN"/>
        </w:rPr>
        <w:t>11</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Consider to support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with minimized specification impacts by at last the following conditions. </w:t>
      </w:r>
    </w:p>
    <w:p>
      <w:pPr>
        <w:numPr>
          <w:ilvl w:val="0"/>
          <w:numId w:val="23"/>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23"/>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23"/>
        </w:numPr>
        <w:ind w:left="840" w:leftChars="0" w:hanging="420" w:firstLineChars="0"/>
        <w:rPr>
          <w:rFonts w:hint="default"/>
          <w:b w:val="0"/>
          <w:bCs w:val="0"/>
          <w:i/>
          <w:iCs/>
          <w:lang w:val="en-US" w:eastAsia="zh-CN"/>
        </w:rPr>
      </w:pPr>
      <w:r>
        <w:rPr>
          <w:rFonts w:hint="eastAsia"/>
          <w:i/>
          <w:iCs/>
          <w:color w:val="auto"/>
          <w:lang w:val="en-US" w:eastAsia="zh-CN"/>
        </w:rPr>
        <w:t xml:space="preserve">Consider to reuse the repetition bundle defined for inter-slot FH for DMRS optimization.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w:t>
      </w:r>
      <w:r>
        <w:rPr>
          <w:rFonts w:hint="eastAsia"/>
          <w:lang w:val="en-US" w:eastAsia="zh-CN"/>
        </w:rPr>
        <w:t xml:space="preserve"> observations and</w:t>
      </w:r>
      <w:r>
        <w:rPr>
          <w:rFonts w:hint="eastAsia" w:eastAsia="宋体"/>
          <w:lang w:val="en-US" w:eastAsia="zh-CN"/>
        </w:rPr>
        <w:t xml:space="preserve"> proposals:</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eastAsia="宋体"/>
          <w:i/>
          <w:iCs/>
          <w:lang w:val="en-US" w:eastAsia="zh-CN"/>
        </w:rPr>
      </w:pPr>
      <w:r>
        <w:rPr>
          <w:rStyle w:val="153"/>
          <w:rFonts w:hint="default"/>
          <w:b/>
          <w:bCs/>
          <w:i/>
          <w:iCs/>
          <w:lang w:val="en-US" w:eastAsia="zh-CN"/>
        </w:rPr>
        <w:t xml:space="preserve">Proposal 1: </w:t>
      </w:r>
      <w:r>
        <w:rPr>
          <w:rStyle w:val="153"/>
          <w:rFonts w:hint="default"/>
          <w:i/>
          <w:iCs/>
          <w:lang w:val="en-US" w:eastAsia="zh-CN"/>
        </w:rPr>
        <w:t xml:space="preserve">Confirm the working assumption for </w:t>
      </w:r>
      <w:r>
        <w:rPr>
          <w:rFonts w:hint="default" w:ascii="Times New Roman" w:hAnsi="Times New Roman" w:cs="Times New Roman"/>
          <w:i/>
          <w:iCs/>
          <w:color w:val="auto"/>
          <w:sz w:val="20"/>
          <w:szCs w:val="20"/>
          <w:lang w:eastAsia="zh-CN"/>
        </w:rPr>
        <w:t xml:space="preserve">back-to-back PUSCH transmissions for </w:t>
      </w:r>
      <w:r>
        <w:rPr>
          <w:rFonts w:hint="default" w:ascii="Times New Roman" w:hAnsi="Times New Roman" w:cs="Times New Roman"/>
          <w:i/>
          <w:iCs/>
          <w:color w:val="auto"/>
          <w:sz w:val="20"/>
          <w:szCs w:val="20"/>
        </w:rPr>
        <w:t>one TB processed over multiple slots</w:t>
      </w:r>
      <w:r>
        <w:rPr>
          <w:rFonts w:hint="default" w:ascii="Times New Roman" w:hAnsi="Times New Roman" w:cs="Times New Roman"/>
          <w:i/>
          <w:iCs/>
          <w:color w:val="auto"/>
          <w:sz w:val="20"/>
          <w:szCs w:val="20"/>
          <w:lang w:val="en-US" w:eastAsia="zh-CN"/>
        </w:rPr>
        <w:t xml:space="preserve">. </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default" w:ascii="Times New Roman" w:hAnsi="Times New Roman" w:eastAsia="Times New Roman" w:cs="Times New Roman"/>
          <w:szCs w:val="20"/>
          <w:lang w:val="en-US" w:eastAsia="zh-CN"/>
        </w:rPr>
      </w:pPr>
      <w:r>
        <w:rPr>
          <w:rStyle w:val="153"/>
          <w:rFonts w:hint="default" w:ascii="Times New Roman" w:hAnsi="Times New Roman" w:cs="Times New Roman"/>
          <w:b/>
          <w:bCs/>
          <w:i/>
          <w:iCs/>
          <w:lang w:val="en-US" w:eastAsia="zh-CN"/>
        </w:rPr>
        <w:t xml:space="preserve">Proposal </w:t>
      </w:r>
      <w:r>
        <w:rPr>
          <w:rStyle w:val="153"/>
          <w:rFonts w:hint="eastAsia" w:ascii="Times New Roman" w:hAnsi="Times New Roman" w:cs="Times New Roman"/>
          <w:b/>
          <w:bCs/>
          <w:i/>
          <w:iCs/>
          <w:lang w:val="en-US" w:eastAsia="zh-CN"/>
        </w:rPr>
        <w:t>2</w:t>
      </w:r>
      <w:r>
        <w:rPr>
          <w:rStyle w:val="153"/>
          <w:rFonts w:hint="default" w:ascii="Times New Roman" w:hAnsi="Times New Roman" w:cs="Times New Roman"/>
          <w:b/>
          <w:bCs/>
          <w:i/>
          <w:iCs/>
          <w:lang w:val="en-US" w:eastAsia="zh-CN"/>
        </w:rPr>
        <w:t xml:space="preserve">: </w:t>
      </w:r>
      <w:r>
        <w:rPr>
          <w:rStyle w:val="153"/>
          <w:rFonts w:hint="eastAsia" w:ascii="Times New Roman" w:hAnsi="Times New Roman" w:cs="Times New Roman"/>
          <w:b w:val="0"/>
          <w:bCs w:val="0"/>
          <w:i/>
          <w:iCs/>
          <w:lang w:val="en-US" w:eastAsia="zh-CN"/>
        </w:rPr>
        <w:t xml:space="preserve">Support </w:t>
      </w:r>
      <w:r>
        <w:rPr>
          <w:rFonts w:ascii="Times New Roman" w:hAnsi="Times New Roman" w:eastAsia="宋体"/>
          <w:i/>
          <w:iCs/>
          <w:sz w:val="20"/>
          <w:szCs w:val="20"/>
        </w:rPr>
        <w:t>joint channel estimation</w:t>
      </w:r>
      <w:r>
        <w:rPr>
          <w:rFonts w:hint="eastAsia" w:ascii="Times New Roman" w:hAnsi="Times New Roman"/>
          <w:i/>
          <w:iCs/>
          <w:sz w:val="20"/>
          <w:szCs w:val="20"/>
          <w:lang w:val="en-US" w:eastAsia="zh-CN"/>
        </w:rPr>
        <w:t xml:space="preserve"> in case of </w:t>
      </w:r>
      <w:r>
        <w:rPr>
          <w:rFonts w:ascii="Times New Roman" w:hAnsi="Times New Roman" w:eastAsia="宋体"/>
          <w:i/>
          <w:iCs/>
          <w:sz w:val="20"/>
          <w:szCs w:val="20"/>
        </w:rPr>
        <w:t>back-to-back PUSCH transmissions with different TBs</w:t>
      </w:r>
      <w:r>
        <w:rPr>
          <w:rFonts w:hint="eastAsia" w:ascii="Times New Roman" w:hAnsi="Times New Roman"/>
          <w:i/>
          <w:iCs/>
          <w:sz w:val="20"/>
          <w:szCs w:val="20"/>
          <w:lang w:val="en-US" w:eastAsia="zh-CN"/>
        </w:rPr>
        <w:t>.</w:t>
      </w:r>
    </w:p>
    <w:p>
      <w:pPr>
        <w:pStyle w:val="97"/>
        <w:keepNext w:val="0"/>
        <w:keepLines w:val="0"/>
        <w:pageBreakBefore w:val="0"/>
        <w:widowControl/>
        <w:kinsoku/>
        <w:wordWrap/>
        <w:overflowPunct w:val="0"/>
        <w:topLinePunct w:val="0"/>
        <w:autoSpaceDE w:val="0"/>
        <w:autoSpaceDN w:val="0"/>
        <w:bidi w:val="0"/>
        <w:adjustRightInd w:val="0"/>
        <w:snapToGrid w:val="0"/>
        <w:spacing w:after="120"/>
        <w:textAlignment w:val="baseline"/>
        <w:rPr>
          <w:rStyle w:val="153"/>
          <w:rFonts w:hint="eastAsia"/>
          <w:b w:val="0"/>
          <w:bCs w:val="0"/>
          <w:i/>
          <w:iCs/>
          <w:lang w:val="en-US" w:eastAsia="zh-CN"/>
        </w:rPr>
      </w:pPr>
      <w:r>
        <w:rPr>
          <w:rStyle w:val="153"/>
          <w:rFonts w:hint="eastAsia"/>
          <w:b/>
          <w:bCs/>
          <w:i/>
          <w:iCs/>
          <w:lang w:val="en-US" w:eastAsia="zh-CN"/>
        </w:rPr>
        <w:t xml:space="preserve">Proposal 3: </w:t>
      </w:r>
      <w:r>
        <w:rPr>
          <w:rStyle w:val="153"/>
          <w:rFonts w:hint="eastAsia"/>
          <w:b w:val="0"/>
          <w:bCs w:val="0"/>
          <w:i/>
          <w:iCs/>
          <w:lang w:val="en-US" w:eastAsia="zh-CN"/>
        </w:rPr>
        <w:t xml:space="preserve">Support </w:t>
      </w:r>
      <w:r>
        <w:rPr>
          <w:rFonts w:hint="eastAsia" w:ascii="Times New Roman" w:hAnsi="Times New Roman" w:cs="Times New Roman"/>
          <w:b w:val="0"/>
          <w:bCs w:val="0"/>
          <w:i/>
          <w:iCs/>
          <w:color w:val="auto"/>
          <w:sz w:val="20"/>
          <w:szCs w:val="20"/>
          <w:lang w:val="en-US" w:eastAsia="zh-CN"/>
        </w:rPr>
        <w:t xml:space="preserve">use case 1 </w:t>
      </w:r>
      <w:r>
        <w:rPr>
          <w:rStyle w:val="153"/>
          <w:rFonts w:hint="eastAsia"/>
          <w:b w:val="0"/>
          <w:bCs w:val="0"/>
          <w:i/>
          <w:iCs/>
          <w:lang w:val="en-US" w:eastAsia="zh-CN"/>
        </w:rPr>
        <w:t>(</w:t>
      </w:r>
      <w:r>
        <w:rPr>
          <w:rStyle w:val="153"/>
          <w:rFonts w:hint="eastAsia" w:eastAsia="宋体"/>
          <w:b w:val="0"/>
          <w:bCs w:val="0"/>
          <w:i/>
          <w:iCs/>
          <w:lang w:val="en-US" w:eastAsia="ko-KR"/>
        </w:rPr>
        <w:t>back-to-back PUSCH transmissions within one slot</w:t>
      </w:r>
      <w:r>
        <w:rPr>
          <w:rStyle w:val="153"/>
          <w:rFonts w:hint="eastAsia"/>
          <w:b w:val="0"/>
          <w:bCs w:val="0"/>
          <w:i/>
          <w:iCs/>
          <w:lang w:val="en-US" w:eastAsia="zh-CN"/>
        </w:rPr>
        <w:t>)</w:t>
      </w:r>
      <w:r>
        <w:rPr>
          <w:rFonts w:hint="eastAsia" w:ascii="Times New Roman" w:hAnsi="Times New Roman" w:cs="Times New Roman"/>
          <w:b w:val="0"/>
          <w:bCs w:val="0"/>
          <w:i/>
          <w:iCs/>
          <w:color w:val="auto"/>
          <w:sz w:val="20"/>
          <w:szCs w:val="20"/>
          <w:lang w:val="en-US" w:eastAsia="zh-CN"/>
        </w:rPr>
        <w:t xml:space="preserve"> for </w:t>
      </w:r>
      <w:r>
        <w:rPr>
          <w:rStyle w:val="153"/>
          <w:rFonts w:hint="eastAsia" w:eastAsia="宋体"/>
          <w:b w:val="0"/>
          <w:bCs w:val="0"/>
          <w:i/>
          <w:iCs/>
          <w:lang w:val="en-US" w:eastAsia="ko-KR"/>
        </w:rPr>
        <w:t>joint channel estimation for PUSCH</w:t>
      </w:r>
      <w:r>
        <w:rPr>
          <w:rStyle w:val="153"/>
          <w:rFonts w:hint="eastAsia"/>
          <w:b w:val="0"/>
          <w:bCs w:val="0"/>
          <w:i/>
          <w:iCs/>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b w:val="0"/>
          <w:bCs w:val="0"/>
          <w:i/>
          <w:iCs/>
          <w:lang w:val="en-US" w:eastAsia="zh-CN"/>
        </w:rPr>
      </w:pPr>
      <w:r>
        <w:rPr>
          <w:rFonts w:hint="eastAsia"/>
          <w:b/>
          <w:bCs/>
          <w:i/>
          <w:iCs/>
          <w:lang w:val="en-US" w:eastAsia="zh-CN"/>
        </w:rPr>
        <w:t xml:space="preserve">Proposal 4: </w:t>
      </w:r>
      <w:r>
        <w:rPr>
          <w:rFonts w:hint="eastAsia"/>
          <w:b w:val="0"/>
          <w:bCs w:val="0"/>
          <w:i/>
          <w:iCs/>
          <w:lang w:val="en-US" w:eastAsia="zh-CN"/>
        </w:rPr>
        <w:t>Decide whether to support Use case 2a/4a/5a for PUCCH repetitions depending on RAN4 further discussion.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ascii="Times New Roman" w:hAnsi="Times New Roman" w:cs="Times New Roman"/>
          <w:i w:val="0"/>
          <w:iCs w:val="0"/>
          <w:color w:val="auto"/>
          <w:sz w:val="20"/>
          <w:szCs w:val="20"/>
          <w:lang w:val="en-US" w:eastAsia="zh-CN"/>
        </w:rPr>
      </w:pPr>
      <w:r>
        <w:rPr>
          <w:rFonts w:hint="eastAsia"/>
          <w:b/>
          <w:bCs/>
          <w:i/>
          <w:iCs/>
          <w:lang w:val="en-US" w:eastAsia="zh-CN"/>
        </w:rPr>
        <w:t>Proposal 5:</w:t>
      </w:r>
      <w:r>
        <w:rPr>
          <w:rFonts w:hint="eastAsia"/>
          <w:b w:val="0"/>
          <w:bCs w:val="0"/>
          <w:i/>
          <w:iCs/>
          <w:lang w:val="en-US" w:eastAsia="zh-CN"/>
        </w:rPr>
        <w:t xml:space="preserve"> Do not support joint channel estimation for Use case 2b/4b/5b for PUCCH repetitions.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273" w:beforeLines="100" w:after="120"/>
        <w:textAlignment w:val="baseline"/>
        <w:rPr>
          <w:rFonts w:hint="default" w:cs="Times New Roman"/>
          <w:b w:val="0"/>
          <w:bCs w:val="0"/>
          <w:lang w:val="en-US" w:eastAsia="zh-CN"/>
        </w:rPr>
      </w:pPr>
      <w:r>
        <w:rPr>
          <w:rFonts w:hint="default"/>
          <w:b/>
          <w:bCs/>
          <w:i/>
          <w:iCs/>
          <w:lang w:val="en-US" w:eastAsia="zh-CN"/>
        </w:rPr>
        <w:t>Proposal 6:</w:t>
      </w:r>
      <w:r>
        <w:rPr>
          <w:rFonts w:hint="default"/>
          <w:b w:val="0"/>
          <w:bCs w:val="0"/>
          <w:i/>
          <w:iCs/>
          <w:lang w:val="en-US" w:eastAsia="zh-CN"/>
        </w:rPr>
        <w:t xml:space="preserve"> A UE reports a maximum </w:t>
      </w:r>
      <w:r>
        <w:rPr>
          <w:rFonts w:hint="default" w:ascii="Times New Roman" w:hAnsi="Times New Roman" w:cs="Times New Roman"/>
          <w:b w:val="0"/>
          <w:bCs w:val="0"/>
          <w:i/>
          <w:iCs/>
          <w:szCs w:val="20"/>
          <w:lang w:val="en-US" w:eastAsia="zh-CN"/>
        </w:rPr>
        <w:t xml:space="preserve">time domain window size </w:t>
      </w:r>
      <w:r>
        <w:rPr>
          <w:rFonts w:hint="default" w:cs="Times New Roman"/>
          <w:b w:val="0"/>
          <w:bCs w:val="0"/>
          <w:i/>
          <w:iCs/>
          <w:szCs w:val="20"/>
          <w:lang w:val="en-US" w:eastAsia="zh-CN"/>
        </w:rPr>
        <w:t xml:space="preserve">for joint channel estimation of PUSCH. </w:t>
      </w:r>
    </w:p>
    <w:p>
      <w:pPr>
        <w:keepNext w:val="0"/>
        <w:keepLines w:val="0"/>
        <w:pageBreakBefore w:val="0"/>
        <w:widowControl/>
        <w:kinsoku/>
        <w:wordWrap/>
        <w:overflowPunct w:val="0"/>
        <w:topLinePunct w:val="0"/>
        <w:autoSpaceDE w:val="0"/>
        <w:autoSpaceDN w:val="0"/>
        <w:bidi w:val="0"/>
        <w:adjustRightInd w:val="0"/>
        <w:snapToGrid w:val="0"/>
        <w:spacing w:before="273" w:beforeLines="100" w:after="120"/>
        <w:textAlignment w:val="baseline"/>
        <w:rPr>
          <w:rFonts w:hint="eastAsia" w:cs="Times New Roman"/>
          <w:i/>
          <w:iCs/>
          <w:szCs w:val="20"/>
          <w:lang w:val="en-US" w:eastAsia="zh-CN"/>
        </w:rPr>
      </w:pPr>
      <w:r>
        <w:rPr>
          <w:rFonts w:hint="eastAsia"/>
          <w:b/>
          <w:bCs/>
          <w:i/>
          <w:iCs/>
          <w:lang w:val="en-US" w:eastAsia="zh-CN"/>
        </w:rPr>
        <w:t xml:space="preserve">Proposal 7: </w:t>
      </w:r>
      <w:r>
        <w:rPr>
          <w:rFonts w:hint="eastAsia"/>
          <w:b w:val="0"/>
          <w:bCs w:val="0"/>
          <w:i/>
          <w:iCs/>
          <w:lang w:val="en-US" w:eastAsia="zh-CN"/>
        </w:rPr>
        <w:t xml:space="preserve">Similar as </w:t>
      </w:r>
      <w:r>
        <w:rPr>
          <w:rFonts w:hint="eastAsia" w:cs="Times New Roman"/>
          <w:i/>
          <w:iCs/>
          <w:lang w:val="en-US" w:eastAsia="zh-CN"/>
        </w:rPr>
        <w:t>the terminology introduced</w:t>
      </w:r>
      <w:r>
        <w:rPr>
          <w:rFonts w:hint="eastAsia" w:cs="Times New Roman"/>
          <w:lang w:val="en-US" w:eastAsia="zh-CN"/>
        </w:rPr>
        <w:t xml:space="preserve"> </w:t>
      </w:r>
      <w:r>
        <w:rPr>
          <w:rFonts w:hint="eastAsia"/>
          <w:b w:val="0"/>
          <w:bCs w:val="0"/>
          <w:i/>
          <w:iCs/>
          <w:lang w:val="en-US" w:eastAsia="zh-CN"/>
        </w:rPr>
        <w:t xml:space="preserve">PUSCH repetition type B, introduce </w:t>
      </w:r>
      <w:r>
        <w:rPr>
          <w:rFonts w:hint="default"/>
          <w:b w:val="0"/>
          <w:bCs w:val="0"/>
          <w:i/>
          <w:iCs/>
          <w:lang w:val="en-US" w:eastAsia="zh-CN"/>
        </w:rPr>
        <w:t>‘</w:t>
      </w:r>
      <w:r>
        <w:rPr>
          <w:rFonts w:hint="eastAsia" w:cs="Times New Roman"/>
          <w:i/>
          <w:iCs/>
          <w:szCs w:val="20"/>
          <w:lang w:val="en-US" w:eastAsia="zh-CN"/>
        </w:rPr>
        <w:t>n</w:t>
      </w:r>
      <w:r>
        <w:rPr>
          <w:rFonts w:hint="eastAsia" w:ascii="Times New Roman" w:hAnsi="Times New Roman" w:cs="Times New Roman"/>
          <w:i/>
          <w:iCs/>
          <w:szCs w:val="20"/>
          <w:lang w:val="en-US" w:eastAsia="zh-CN"/>
        </w:rPr>
        <w:t>ominal time domain window</w:t>
      </w:r>
      <w:r>
        <w:rPr>
          <w:rFonts w:hint="default" w:cs="Times New Roman"/>
          <w:i/>
          <w:iCs/>
          <w:szCs w:val="20"/>
          <w:lang w:val="en-US" w:eastAsia="zh-CN"/>
        </w:rPr>
        <w:t>’</w:t>
      </w:r>
      <w:r>
        <w:rPr>
          <w:rFonts w:hint="eastAsia" w:ascii="Times New Roman" w:hAnsi="Times New Roman" w:cs="Times New Roman"/>
          <w:i/>
          <w:iCs/>
          <w:szCs w:val="20"/>
          <w:lang w:val="en-US" w:eastAsia="zh-CN"/>
        </w:rPr>
        <w:t xml:space="preserve"> and </w:t>
      </w:r>
      <w:r>
        <w:rPr>
          <w:rFonts w:hint="default" w:cs="Times New Roman"/>
          <w:i/>
          <w:iCs/>
          <w:szCs w:val="20"/>
          <w:lang w:val="en-US" w:eastAsia="zh-CN"/>
        </w:rPr>
        <w:t>‘</w:t>
      </w:r>
      <w:r>
        <w:rPr>
          <w:rFonts w:hint="eastAsia" w:ascii="Times New Roman" w:hAnsi="Times New Roman" w:cs="Times New Roman"/>
          <w:i/>
          <w:iCs/>
          <w:szCs w:val="20"/>
          <w:lang w:val="en-US" w:eastAsia="zh-CN"/>
        </w:rPr>
        <w:t>actual time domain window</w:t>
      </w:r>
      <w:r>
        <w:rPr>
          <w:rFonts w:hint="default" w:cs="Times New Roman"/>
          <w:i/>
          <w:iCs/>
          <w:szCs w:val="20"/>
          <w:lang w:val="en-US" w:eastAsia="zh-CN"/>
        </w:rPr>
        <w:t>’</w:t>
      </w:r>
      <w:r>
        <w:rPr>
          <w:rFonts w:hint="eastAsia" w:ascii="Times New Roman" w:hAnsi="Times New Roman" w:cs="Times New Roman"/>
          <w:i/>
          <w:iCs/>
          <w:szCs w:val="20"/>
          <w:lang w:val="en-US" w:eastAsia="zh-CN"/>
        </w:rPr>
        <w:t xml:space="preserve"> </w:t>
      </w:r>
      <w:r>
        <w:rPr>
          <w:rFonts w:hint="eastAsia" w:cs="Times New Roman"/>
          <w:i/>
          <w:iCs/>
          <w:szCs w:val="20"/>
          <w:lang w:val="en-US" w:eastAsia="zh-CN"/>
        </w:rPr>
        <w:t xml:space="preserve">for joint channel estimation of PUSCH. </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273" w:beforeLines="100"/>
        <w:ind w:left="840" w:hanging="420"/>
        <w:textAlignment w:val="baseline"/>
        <w:rPr>
          <w:rFonts w:hint="eastAsia" w:cs="Times New Roman"/>
          <w:i/>
          <w:iCs/>
          <w:szCs w:val="20"/>
          <w:lang w:val="en-US" w:eastAsia="zh-CN"/>
        </w:rPr>
      </w:pPr>
      <w:r>
        <w:rPr>
          <w:rFonts w:hint="eastAsia" w:cs="Times New Roman"/>
          <w:i/>
          <w:iCs/>
          <w:szCs w:val="20"/>
          <w:lang w:val="en-US" w:eastAsia="zh-CN"/>
        </w:rPr>
        <w:t xml:space="preserve"> gNB configures a nominal time domain window applicable for all use cases supported. </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before="273" w:beforeLines="100"/>
        <w:ind w:left="840" w:hanging="420"/>
        <w:textAlignment w:val="baseline"/>
        <w:rPr>
          <w:rFonts w:hint="eastAsia" w:ascii="Times New Roman" w:hAnsi="Times New Roman" w:cs="Times New Roman"/>
          <w:i/>
          <w:iCs/>
          <w:szCs w:val="20"/>
          <w:lang w:val="en-US" w:eastAsia="zh-CN"/>
        </w:rPr>
      </w:pPr>
      <w:r>
        <w:rPr>
          <w:rFonts w:hint="eastAsia" w:cs="Times New Roman"/>
          <w:i/>
          <w:iCs/>
          <w:szCs w:val="20"/>
          <w:lang w:val="en-US" w:eastAsia="zh-CN"/>
        </w:rPr>
        <w:t xml:space="preserve"> The actual time domain window could be different among different use cases. </w:t>
      </w:r>
    </w:p>
    <w:p>
      <w:pPr>
        <w:keepNext w:val="0"/>
        <w:keepLines w:val="0"/>
        <w:pageBreakBefore w:val="0"/>
        <w:widowControl/>
        <w:numPr>
          <w:ilvl w:val="255"/>
          <w:numId w:val="0"/>
        </w:numPr>
        <w:kinsoku/>
        <w:wordWrap/>
        <w:overflowPunct/>
        <w:topLinePunct w:val="0"/>
        <w:autoSpaceDE/>
        <w:autoSpaceDN/>
        <w:bidi w:val="0"/>
        <w:adjustRightInd/>
        <w:snapToGrid/>
        <w:spacing w:before="0" w:beforeLines="-2147483648"/>
        <w:textAlignment w:val="auto"/>
        <w:rPr>
          <w:rFonts w:hint="eastAsia" w:cs="Times New Roman"/>
          <w:i/>
          <w:iCs/>
          <w:szCs w:val="20"/>
          <w:lang w:val="en-US" w:eastAsia="zh-CN"/>
        </w:rPr>
      </w:pPr>
      <w:r>
        <w:rPr>
          <w:rFonts w:hint="eastAsia"/>
          <w:b/>
          <w:bCs/>
          <w:i/>
          <w:iCs/>
          <w:lang w:val="en-US" w:eastAsia="zh-CN"/>
        </w:rPr>
        <w:t xml:space="preserve">Proposal 8: </w:t>
      </w:r>
      <w:r>
        <w:rPr>
          <w:rFonts w:hint="eastAsia"/>
          <w:b w:val="0"/>
          <w:bCs w:val="0"/>
          <w:i/>
          <w:iCs/>
          <w:lang w:val="en-US" w:eastAsia="zh-CN"/>
        </w:rPr>
        <w:t xml:space="preserve">Further discuss how to specify the start of </w:t>
      </w:r>
      <w:r>
        <w:rPr>
          <w:rFonts w:hint="eastAsia" w:cs="Times New Roman"/>
          <w:i/>
          <w:iCs/>
          <w:szCs w:val="20"/>
          <w:lang w:val="en-US" w:eastAsia="zh-CN"/>
        </w:rPr>
        <w:t xml:space="preserve">the nominal/actual time domain window. </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for inter-slot FH, RAN1 down-selects from the two options below. </w:t>
      </w:r>
    </w:p>
    <w:p>
      <w:pPr>
        <w:numPr>
          <w:ilvl w:val="0"/>
          <w:numId w:val="20"/>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within one actual time domain window . </w:t>
      </w:r>
    </w:p>
    <w:p>
      <w:pPr>
        <w:numPr>
          <w:ilvl w:val="0"/>
          <w:numId w:val="20"/>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2: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rPr>
          <w:rFonts w:hint="eastAsia" w:ascii="Times New Roman" w:hAnsi="Times New Roman" w:cs="Times New Roman"/>
          <w:b w:val="0"/>
          <w:bCs w:val="0"/>
          <w:lang w:val="en-US" w:eastAsia="zh-CN"/>
        </w:rPr>
      </w:pPr>
      <w:r>
        <w:rPr>
          <w:rFonts w:hint="eastAsia"/>
          <w:b/>
          <w:bCs/>
          <w:i/>
          <w:iCs/>
          <w:lang w:eastAsia="zh-CN"/>
        </w:rPr>
        <w:t xml:space="preserve">Proposal </w:t>
      </w:r>
      <w:r>
        <w:rPr>
          <w:rFonts w:hint="eastAsia"/>
          <w:b/>
          <w:bCs/>
          <w:i/>
          <w:iCs/>
          <w:lang w:val="en-US" w:eastAsia="zh-CN"/>
        </w:rPr>
        <w:t>10</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numPr>
          <w:ilvl w:val="255"/>
          <w:numId w:val="0"/>
        </w:numPr>
        <w:rPr>
          <w:rFonts w:hint="eastAsia"/>
          <w:i/>
          <w:iCs/>
          <w:color w:val="auto"/>
          <w:lang w:val="en-US" w:eastAsia="zh-CN"/>
        </w:rPr>
      </w:pPr>
      <w:r>
        <w:rPr>
          <w:rFonts w:hint="eastAsia"/>
          <w:b/>
          <w:bCs/>
          <w:i/>
          <w:iCs/>
          <w:highlight w:val="none"/>
          <w:lang w:val="en-US" w:eastAsia="zh-CN"/>
        </w:rPr>
        <w:t xml:space="preserve">Observation 3: </w:t>
      </w:r>
      <w:r>
        <w:rPr>
          <w:rFonts w:hint="eastAsia"/>
          <w:i/>
          <w:iCs/>
          <w:color w:val="auto"/>
          <w:lang w:val="en-US" w:eastAsia="zh-CN"/>
        </w:rPr>
        <w:t>O</w:t>
      </w:r>
      <w:r>
        <w:rPr>
          <w:i/>
          <w:iCs/>
          <w:color w:val="auto"/>
        </w:rPr>
        <w:t xml:space="preserve">ptimization of DMRS 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can provide 0.15~2.52 dB gain for PUSCH repetitions in </w:t>
      </w:r>
      <w:r>
        <w:rPr>
          <w:rFonts w:hint="eastAsia"/>
          <w:i/>
          <w:iCs/>
          <w:highlight w:val="none"/>
          <w:lang w:val="en-US" w:eastAsia="zh-CN"/>
        </w:rPr>
        <w:t>700MHz Rural</w:t>
      </w:r>
      <w:r>
        <w:rPr>
          <w:rFonts w:hint="eastAsia"/>
          <w:highlight w:val="none"/>
          <w:lang w:val="en-US" w:eastAsia="zh-CN"/>
        </w:rPr>
        <w:t xml:space="preserve"> </w:t>
      </w:r>
      <w:r>
        <w:rPr>
          <w:rFonts w:hint="eastAsia"/>
          <w:i/>
          <w:iCs/>
          <w:color w:val="auto"/>
          <w:lang w:val="en-US" w:eastAsia="zh-CN"/>
        </w:rPr>
        <w:t xml:space="preserve">scenario. </w:t>
      </w:r>
    </w:p>
    <w:p>
      <w:pPr>
        <w:numPr>
          <w:ilvl w:val="255"/>
          <w:numId w:val="0"/>
        </w:numPr>
        <w:rPr>
          <w:rFonts w:hint="default"/>
          <w:i/>
          <w:iCs/>
          <w:color w:val="auto"/>
          <w:lang w:val="en-US" w:eastAsia="zh-CN"/>
        </w:rPr>
      </w:pPr>
      <w:r>
        <w:rPr>
          <w:rFonts w:hint="eastAsia"/>
          <w:b/>
          <w:bCs/>
          <w:i/>
          <w:iCs/>
          <w:lang w:eastAsia="zh-CN"/>
        </w:rPr>
        <w:t xml:space="preserve">Proposal </w:t>
      </w:r>
      <w:r>
        <w:rPr>
          <w:rFonts w:hint="eastAsia"/>
          <w:b/>
          <w:bCs/>
          <w:i/>
          <w:iCs/>
          <w:lang w:val="en-US" w:eastAsia="zh-CN"/>
        </w:rPr>
        <w:t>11</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Consider to support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with minimized specification impacts by at last the following conditions. </w:t>
      </w:r>
    </w:p>
    <w:p>
      <w:pPr>
        <w:numPr>
          <w:ilvl w:val="0"/>
          <w:numId w:val="23"/>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23"/>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23"/>
        </w:numPr>
        <w:ind w:left="840" w:leftChars="0" w:hanging="420" w:firstLineChars="0"/>
        <w:rPr>
          <w:rFonts w:hint="eastAsia" w:eastAsia="宋体"/>
          <w:lang w:val="en-US" w:eastAsia="zh-CN"/>
        </w:rPr>
      </w:pPr>
      <w:r>
        <w:rPr>
          <w:rFonts w:hint="eastAsia"/>
          <w:i/>
          <w:iCs/>
          <w:color w:val="auto"/>
          <w:lang w:val="en-US" w:eastAsia="zh-CN"/>
        </w:rPr>
        <w:t xml:space="preserve">Consider to reuse the repetition bundle defined for inter-slot FH for DMRS optimization. </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eastAsia" w:cs="Times New Roman"/>
          <w:sz w:val="20"/>
          <w:szCs w:val="15"/>
          <w:highlight w:val="none"/>
          <w:lang w:val="en-US" w:eastAsia="zh-CN"/>
        </w:rPr>
        <w:t>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eastAsia" w:cs="Times New Roman"/>
          <w:sz w:val="20"/>
          <w:szCs w:val="15"/>
          <w:highlight w:val="none"/>
          <w:lang w:val="en-US" w:eastAsia="zh-CN"/>
        </w:rPr>
        <w:t>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[104b-e-NR-R17-CovEnh-02] Summary of email discussion on joint channel estimation for PUSCH.</w:t>
      </w:r>
      <w:r>
        <w:rPr>
          <w:rFonts w:hint="default" w:ascii="Times New Roman" w:hAnsi="Times New Roman" w:cs="Times New Roman"/>
          <w:sz w:val="20"/>
          <w:szCs w:val="15"/>
          <w:highlight w:val="none"/>
          <w:lang w:val="en-US" w:eastAsia="zh-CN"/>
        </w:rPr>
        <w:tab/>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 xml:space="preserve">3GPP RAN1#104b-e, R1-2104119, </w:t>
      </w:r>
      <w:r>
        <w:rPr>
          <w:rFonts w:hint="default" w:ascii="Times New Roman" w:hAnsi="Times New Roman" w:cs="Times New Roman"/>
          <w:sz w:val="20"/>
          <w:szCs w:val="15"/>
          <w:highlight w:val="none"/>
          <w:lang w:eastAsia="zh-CN"/>
        </w:rPr>
        <w:t>Reply LS on PUCCH and PUSCH repetition</w:t>
      </w:r>
      <w:r>
        <w:rPr>
          <w:rFonts w:hint="eastAsia" w:cs="Times New Roman"/>
          <w:sz w:val="20"/>
          <w:szCs w:val="15"/>
          <w:highlight w:val="none"/>
          <w:lang w:val="en-US" w:eastAsia="zh-CN"/>
        </w:rPr>
        <w:t>, RAN1.</w:t>
      </w:r>
    </w:p>
    <w:p>
      <w:pPr>
        <w:pStyle w:val="126"/>
        <w:rPr>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-e, R1-2104168</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Reply LS on PUCCH and PUSCH repetition</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RAN4, Qualcomm</w:t>
      </w:r>
      <w:r>
        <w:rPr>
          <w:rFonts w:hint="eastAsia" w:cs="Times New Roman"/>
          <w:sz w:val="20"/>
          <w:szCs w:val="15"/>
          <w:highlight w:val="none"/>
          <w:lang w:val="en-US" w:eastAsia="zh-CN"/>
        </w:rPr>
        <w:t>.</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 xml:space="preserve">N1#104b-e, </w:t>
      </w:r>
      <w:r>
        <w:rPr>
          <w:szCs w:val="15"/>
          <w:highlight w:val="none"/>
          <w:lang w:eastAsia="zh-CN"/>
        </w:rPr>
        <w:t>R1-2102298</w:t>
      </w:r>
      <w:r>
        <w:rPr>
          <w:rFonts w:hint="eastAsia"/>
          <w:szCs w:val="15"/>
          <w:highlight w:val="none"/>
          <w:lang w:val="en-US" w:eastAsia="zh-CN"/>
        </w:rPr>
        <w:t xml:space="preserve">,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-1 Simulation assumptions</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lang w:val="en-US" w:eastAsia="zh-CN"/>
        </w:rPr>
        <w:t>inter-slot FH bundling for cross-slot channel estimatio</w:t>
      </w:r>
      <w:r>
        <w:rPr>
          <w:rFonts w:hint="eastAsia"/>
          <w:szCs w:val="20"/>
          <w:lang w:val="en-US" w:eastAsia="zh-CN"/>
        </w:rPr>
        <w:t>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700MHz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346"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50RBs offset for inter-slot hopping</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15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w:t>
            </w: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Frequency offset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Uniform distribution with [-0.1, +0.1] ppm</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3</w:t>
      </w:r>
      <w:r>
        <w:rPr>
          <w:szCs w:val="20"/>
          <w:lang w:eastAsia="zh-CN"/>
        </w:rPr>
        <w:t xml:space="preserve"> Simulation assumption for </w:t>
      </w:r>
      <w:r>
        <w:rPr>
          <w:rFonts w:hint="eastAsia" w:cs="Times New Roman"/>
          <w:lang w:val="en-US" w:eastAsia="zh-CN"/>
        </w:rPr>
        <w:t>Joint channel estimation for CA case</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eastAsia" w:cs="Times New Roman"/>
                <w:color w:val="000000"/>
                <w:sz w:val="20"/>
                <w:szCs w:val="20"/>
                <w:lang w:val="en-US" w:eastAsia="zh-CN"/>
              </w:rPr>
              <w:t>4G</w:t>
            </w:r>
            <w:r>
              <w:rPr>
                <w:rFonts w:hint="eastAsia" w:ascii="Times New Roman" w:hAnsi="Times New Roman" w:cs="Times New Roman"/>
                <w:color w:val="000000"/>
                <w:sz w:val="20"/>
                <w:szCs w:val="20"/>
                <w:lang w:val="en-US" w:eastAsia="zh-CN"/>
              </w:rPr>
              <w:t>Hz</w:t>
            </w:r>
            <w:r>
              <w:rPr>
                <w:rFonts w:hint="eastAsia" w:cs="Times New Roman"/>
                <w:color w:val="000000"/>
                <w:sz w:val="20"/>
                <w:szCs w:val="20"/>
                <w:lang w:val="en-US" w:eastAsia="zh-CN"/>
              </w:rPr>
              <w:t>/2.6GHz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cs="Times New Roman"/>
                <w:color w:val="000000"/>
                <w:sz w:val="20"/>
                <w:szCs w:val="20"/>
                <w:lang w:val="en-US" w:eastAsia="zh-CN"/>
              </w:rPr>
              <w:t xml:space="preserve">Urban </w:t>
            </w:r>
            <w:r>
              <w:rPr>
                <w:rFonts w:hint="eastAsia" w:ascii="Times New Roman" w:hAnsi="Times New Roman" w:eastAsia="宋体" w:cs="Times New Roman"/>
                <w:color w:val="000000"/>
                <w:sz w:val="20"/>
                <w:szCs w:val="20"/>
                <w:lang w:val="en-US" w:eastAsia="zh-CN"/>
              </w:rPr>
              <w:t>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30 </w:t>
            </w:r>
            <w:r>
              <w:rPr>
                <w:rFonts w:hint="default" w:ascii="Times New Roman" w:hAnsi="Times New Roman" w:cs="Times New Roman"/>
                <w:color w:val="000000"/>
                <w:sz w:val="20"/>
                <w:szCs w:val="20"/>
              </w:rPr>
              <w:t>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30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pStyle w:val="2"/>
        <w:numPr>
          <w:ilvl w:val="0"/>
          <w:numId w:val="0"/>
        </w:numPr>
        <w:rPr>
          <w:rFonts w:hint="default"/>
          <w:szCs w:val="22"/>
          <w:lang w:val="en-US" w:eastAsia="zh-CN"/>
        </w:rPr>
      </w:pPr>
      <w:bookmarkStart w:id="4" w:name="_GoBack"/>
      <w:bookmarkEnd w:id="4"/>
      <w:r>
        <w:rPr>
          <w:szCs w:val="22"/>
          <w:lang w:val="en-US" w:eastAsia="zh-CN"/>
        </w:rPr>
        <w:t>Appendix</w:t>
      </w:r>
      <w:r>
        <w:rPr>
          <w:rFonts w:hint="eastAsia"/>
          <w:szCs w:val="22"/>
          <w:lang w:val="en-US" w:eastAsia="zh-CN"/>
        </w:rPr>
        <w:t xml:space="preserve">-2 Tx switching in Rel-16 </w:t>
      </w:r>
    </w:p>
    <w:p>
      <w:pPr>
        <w:overflowPunct/>
        <w:autoSpaceDE/>
        <w:autoSpaceDN/>
        <w:adjustRightInd/>
        <w:spacing w:afterLines="50" w:line="240" w:lineRule="auto"/>
        <w:jc w:val="both"/>
        <w:textAlignment w:val="auto"/>
        <w:rPr>
          <w:rFonts w:ascii="Times New Roman" w:hAnsi="Times New Roman" w:cs="Times New Roman"/>
          <w:bCs/>
          <w:iCs/>
          <w:lang w:eastAsia="zh-CN"/>
        </w:rPr>
      </w:pPr>
      <w:r>
        <w:rPr>
          <w:rFonts w:hint="eastAsia" w:ascii="Times New Roman" w:hAnsi="Times New Roman" w:cs="Times New Roman"/>
          <w:bCs/>
          <w:iCs/>
          <w:lang w:eastAsia="zh-CN"/>
        </w:rPr>
        <w:t>S</w:t>
      </w:r>
      <w:r>
        <w:rPr>
          <w:rFonts w:hint="eastAsia" w:ascii="Times New Roman" w:hAnsi="Times New Roman" w:cs="Times New Roman"/>
          <w:bCs/>
          <w:iCs/>
          <w:lang w:val="en-US" w:eastAsia="zh-CN"/>
        </w:rPr>
        <w:t xml:space="preserve">ubject to UE capability, the following two options are supported in Rel-16 Tx swiching for inter band CA and </w:t>
      </w:r>
      <w:r>
        <w:rPr>
          <w:rFonts w:hint="default" w:ascii="Times New Roman" w:hAnsi="Times New Roman" w:cs="Times New Roman"/>
          <w:bCs/>
          <w:iCs/>
          <w:lang w:eastAsia="zh-CN"/>
        </w:rPr>
        <w:t>EN-DC</w:t>
      </w:r>
    </w:p>
    <w:p>
      <w:pPr>
        <w:pStyle w:val="114"/>
        <w:numPr>
          <w:ilvl w:val="0"/>
          <w:numId w:val="24"/>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1(</w:t>
      </w:r>
      <w:r>
        <w:rPr>
          <w:rFonts w:ascii="Times New Roman" w:hAnsi="Times New Roman" w:eastAsia="宋体" w:cs="Times New Roman"/>
          <w:i/>
          <w:iCs/>
          <w:sz w:val="20"/>
          <w:szCs w:val="20"/>
          <w:lang w:val="en-GB"/>
        </w:rPr>
        <w:t>switchedUL</w:t>
      </w:r>
      <w:r>
        <w:rPr>
          <w:rFonts w:ascii="Times New Roman" w:hAnsi="Times New Roman" w:eastAsia="宋体" w:cs="Times New Roman"/>
          <w:sz w:val="20"/>
          <w:szCs w:val="20"/>
          <w:lang w:val="en-GB"/>
        </w:rPr>
        <w:t xml:space="preserve">): If uplink Tx switching is configured, UE is not expected to be scheduled or configured with UL transmission on carrier 2 for case 1. </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 xml:space="preserve">0P+2P, 0P+1P </w:t>
            </w:r>
          </w:p>
        </w:tc>
      </w:tr>
    </w:tbl>
    <w:p>
      <w:pPr>
        <w:pStyle w:val="114"/>
        <w:numPr>
          <w:ilvl w:val="-1"/>
          <w:numId w:val="0"/>
        </w:numPr>
        <w:ind w:left="0" w:firstLine="0"/>
        <w:jc w:val="both"/>
        <w:rPr>
          <w:rFonts w:ascii="Times New Roman" w:hAnsi="Times New Roman" w:eastAsia="宋体" w:cs="Times New Roman"/>
          <w:sz w:val="20"/>
          <w:szCs w:val="20"/>
          <w:lang w:val="en-GB"/>
        </w:rPr>
      </w:pPr>
    </w:p>
    <w:p>
      <w:pPr>
        <w:pStyle w:val="114"/>
        <w:numPr>
          <w:ilvl w:val="0"/>
          <w:numId w:val="24"/>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2(</w:t>
      </w:r>
      <w:r>
        <w:rPr>
          <w:rFonts w:ascii="Times New Roman" w:hAnsi="Times New Roman" w:eastAsia="宋体" w:cs="Times New Roman"/>
          <w:i/>
          <w:iCs/>
          <w:sz w:val="20"/>
          <w:szCs w:val="20"/>
          <w:lang w:val="en-GB"/>
        </w:rPr>
        <w:t>dualUL</w:t>
      </w:r>
      <w:r>
        <w:rPr>
          <w:rFonts w:ascii="Times New Roman" w:hAnsi="Times New Roman" w:eastAsia="宋体" w:cs="Times New Roman"/>
          <w:sz w:val="20"/>
          <w:szCs w:val="20"/>
          <w:lang w:val="en-GB"/>
        </w:rPr>
        <w:t>): If uplink Tx switching is configured, UE can be scheduled or configured with UL transmission on both carrier 1 and carrier 2 for case 1.</w:t>
      </w:r>
    </w:p>
    <w:p>
      <w:pPr>
        <w:adjustRightInd/>
        <w:spacing w:after="0" w:line="240" w:lineRule="auto"/>
        <w:ind w:left="1260" w:hanging="42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either carrier 1 or carrier 2.</w:t>
      </w:r>
    </w:p>
    <w:p>
      <w:pPr>
        <w:adjustRightInd/>
        <w:spacing w:after="0" w:line="240" w:lineRule="auto"/>
        <w:ind w:left="84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both carrier 1 and carrier 2 simultaneously.</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1P+0P, 1P+1P, 0P+1P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0P+2P, 0P+1P</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BD4C66"/>
    <w:multiLevelType w:val="singleLevel"/>
    <w:tmpl w:val="B0BD4C66"/>
    <w:lvl w:ilvl="0" w:tentative="0">
      <w:start w:val="1"/>
      <w:numFmt w:val="bullet"/>
      <w:lvlText w:val=""/>
      <w:lvlJc w:val="left"/>
      <w:pPr>
        <w:tabs>
          <w:tab w:val="left" w:pos="420"/>
        </w:tabs>
        <w:ind w:left="840" w:hanging="420"/>
      </w:pPr>
      <w:rPr>
        <w:rFonts w:hint="default" w:ascii="Wingdings" w:hAnsi="Wingdings"/>
      </w:rPr>
    </w:lvl>
  </w:abstractNum>
  <w:abstractNum w:abstractNumId="1">
    <w:nsid w:val="B396E7A7"/>
    <w:multiLevelType w:val="singleLevel"/>
    <w:tmpl w:val="B396E7A7"/>
    <w:lvl w:ilvl="0" w:tentative="0">
      <w:start w:val="1"/>
      <w:numFmt w:val="bullet"/>
      <w:lvlText w:val=""/>
      <w:lvlJc w:val="left"/>
      <w:pPr>
        <w:tabs>
          <w:tab w:val="left" w:pos="420"/>
        </w:tabs>
        <w:ind w:left="840" w:hanging="420"/>
      </w:pPr>
      <w:rPr>
        <w:rFonts w:hint="default" w:ascii="Wingdings" w:hAnsi="Wingdings"/>
      </w:rPr>
    </w:lvl>
  </w:abstractNum>
  <w:abstractNum w:abstractNumId="2">
    <w:nsid w:val="D812E99F"/>
    <w:multiLevelType w:val="singleLevel"/>
    <w:tmpl w:val="D812E99F"/>
    <w:lvl w:ilvl="0" w:tentative="0">
      <w:start w:val="1"/>
      <w:numFmt w:val="bullet"/>
      <w:lvlText w:val=""/>
      <w:lvlJc w:val="left"/>
      <w:pPr>
        <w:tabs>
          <w:tab w:val="left" w:pos="420"/>
        </w:tabs>
        <w:ind w:left="840" w:hanging="420"/>
      </w:pPr>
      <w:rPr>
        <w:rFonts w:hint="default" w:ascii="Wingdings" w:hAnsi="Wingdings"/>
      </w:rPr>
    </w:lvl>
  </w:abstractNum>
  <w:abstractNum w:abstractNumId="3">
    <w:nsid w:val="EE034ED5"/>
    <w:multiLevelType w:val="singleLevel"/>
    <w:tmpl w:val="EE034ED5"/>
    <w:lvl w:ilvl="0" w:tentative="0">
      <w:start w:val="1"/>
      <w:numFmt w:val="bullet"/>
      <w:lvlText w:val=""/>
      <w:lvlJc w:val="left"/>
      <w:pPr>
        <w:tabs>
          <w:tab w:val="left" w:pos="420"/>
        </w:tabs>
        <w:ind w:left="840" w:hanging="420"/>
      </w:pPr>
      <w:rPr>
        <w:rFonts w:hint="default" w:ascii="Wingdings" w:hAnsi="Wingdings"/>
      </w:rPr>
    </w:lvl>
  </w:abstractNum>
  <w:abstractNum w:abstractNumId="4">
    <w:nsid w:val="05554322"/>
    <w:multiLevelType w:val="multilevel"/>
    <w:tmpl w:val="0555432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862723A"/>
    <w:multiLevelType w:val="multilevel"/>
    <w:tmpl w:val="2862723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0">
    <w:nsid w:val="2EDD55D4"/>
    <w:multiLevelType w:val="singleLevel"/>
    <w:tmpl w:val="2EDD55D4"/>
    <w:lvl w:ilvl="0" w:tentative="0">
      <w:start w:val="1"/>
      <w:numFmt w:val="bullet"/>
      <w:lvlText w:val=""/>
      <w:lvlJc w:val="left"/>
      <w:pPr>
        <w:tabs>
          <w:tab w:val="left" w:pos="420"/>
        </w:tabs>
        <w:ind w:left="840" w:hanging="420"/>
      </w:pPr>
      <w:rPr>
        <w:rFonts w:hint="default" w:ascii="Wingdings" w:hAnsi="Wingdings"/>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7A6E86"/>
    <w:multiLevelType w:val="multilevel"/>
    <w:tmpl w:val="347A6E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8943DD7"/>
    <w:multiLevelType w:val="multilevel"/>
    <w:tmpl w:val="38943D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92F78B8"/>
    <w:multiLevelType w:val="multilevel"/>
    <w:tmpl w:val="392F78B8"/>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6">
    <w:nsid w:val="3B0C0761"/>
    <w:multiLevelType w:val="multilevel"/>
    <w:tmpl w:val="3B0C07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EB97975"/>
    <w:multiLevelType w:val="multilevel"/>
    <w:tmpl w:val="3EB979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0" w:hanging="420"/>
      </w:pPr>
      <w:rPr>
        <w:rFonts w:hint="default" w:ascii="Wingdings" w:hAnsi="Wingdings"/>
      </w:rPr>
    </w:lvl>
    <w:lvl w:ilvl="2" w:tentative="0">
      <w:start w:val="1"/>
      <w:numFmt w:val="bullet"/>
      <w:lvlText w:val=""/>
      <w:lvlJc w:val="left"/>
      <w:pPr>
        <w:ind w:left="420" w:hanging="420"/>
      </w:pPr>
      <w:rPr>
        <w:rFonts w:hint="default" w:ascii="Wingdings" w:hAnsi="Wingdings"/>
      </w:rPr>
    </w:lvl>
    <w:lvl w:ilvl="3" w:tentative="0">
      <w:start w:val="1"/>
      <w:numFmt w:val="bullet"/>
      <w:lvlText w:val=""/>
      <w:lvlJc w:val="left"/>
      <w:pPr>
        <w:ind w:left="840" w:hanging="420"/>
      </w:pPr>
      <w:rPr>
        <w:rFonts w:hint="default" w:ascii="Wingdings" w:hAnsi="Wingdings"/>
      </w:rPr>
    </w:lvl>
    <w:lvl w:ilvl="4" w:tentative="0">
      <w:start w:val="1"/>
      <w:numFmt w:val="bullet"/>
      <w:lvlText w:val=""/>
      <w:lvlJc w:val="left"/>
      <w:pPr>
        <w:ind w:left="1260" w:hanging="420"/>
      </w:pPr>
      <w:rPr>
        <w:rFonts w:hint="default" w:ascii="Wingdings" w:hAnsi="Wingdings"/>
      </w:rPr>
    </w:lvl>
    <w:lvl w:ilvl="5" w:tentative="0">
      <w:start w:val="1"/>
      <w:numFmt w:val="bullet"/>
      <w:lvlText w:val=""/>
      <w:lvlJc w:val="left"/>
      <w:pPr>
        <w:ind w:left="1680" w:hanging="420"/>
      </w:pPr>
      <w:rPr>
        <w:rFonts w:hint="default" w:ascii="Wingdings" w:hAnsi="Wingdings"/>
      </w:rPr>
    </w:lvl>
    <w:lvl w:ilvl="6" w:tentative="0">
      <w:start w:val="1"/>
      <w:numFmt w:val="bullet"/>
      <w:lvlText w:val=""/>
      <w:lvlJc w:val="left"/>
      <w:pPr>
        <w:ind w:left="2100" w:hanging="420"/>
      </w:pPr>
      <w:rPr>
        <w:rFonts w:hint="default" w:ascii="Wingdings" w:hAnsi="Wingdings"/>
      </w:rPr>
    </w:lvl>
    <w:lvl w:ilvl="7" w:tentative="0">
      <w:start w:val="1"/>
      <w:numFmt w:val="bullet"/>
      <w:lvlText w:val=""/>
      <w:lvlJc w:val="left"/>
      <w:pPr>
        <w:ind w:left="2520" w:hanging="420"/>
      </w:pPr>
      <w:rPr>
        <w:rFonts w:hint="default" w:ascii="Wingdings" w:hAnsi="Wingdings"/>
      </w:rPr>
    </w:lvl>
    <w:lvl w:ilvl="8" w:tentative="0">
      <w:start w:val="1"/>
      <w:numFmt w:val="bullet"/>
      <w:lvlText w:val=""/>
      <w:lvlJc w:val="left"/>
      <w:pPr>
        <w:ind w:left="2940" w:hanging="420"/>
      </w:pPr>
      <w:rPr>
        <w:rFonts w:hint="default" w:ascii="Wingdings" w:hAnsi="Wingdings"/>
      </w:rPr>
    </w:lvl>
  </w:abstractNum>
  <w:abstractNum w:abstractNumId="18">
    <w:nsid w:val="48A07850"/>
    <w:multiLevelType w:val="multilevel"/>
    <w:tmpl w:val="48A078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98C34D3"/>
    <w:multiLevelType w:val="multilevel"/>
    <w:tmpl w:val="498C34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9"/>
  </w:num>
  <w:num w:numId="3">
    <w:abstractNumId w:val="21"/>
  </w:num>
  <w:num w:numId="4">
    <w:abstractNumId w:val="15"/>
  </w:num>
  <w:num w:numId="5">
    <w:abstractNumId w:val="23"/>
  </w:num>
  <w:num w:numId="6">
    <w:abstractNumId w:val="20"/>
  </w:num>
  <w:num w:numId="7">
    <w:abstractNumId w:val="11"/>
  </w:num>
  <w:num w:numId="8">
    <w:abstractNumId w:val="22"/>
  </w:num>
  <w:num w:numId="9">
    <w:abstractNumId w:val="6"/>
  </w:num>
  <w:num w:numId="10">
    <w:abstractNumId w:val="12"/>
  </w:num>
  <w:num w:numId="11">
    <w:abstractNumId w:val="19"/>
  </w:num>
  <w:num w:numId="12">
    <w:abstractNumId w:val="14"/>
  </w:num>
  <w:num w:numId="13">
    <w:abstractNumId w:val="7"/>
  </w:num>
  <w:num w:numId="14">
    <w:abstractNumId w:val="17"/>
  </w:num>
  <w:num w:numId="15">
    <w:abstractNumId w:val="13"/>
  </w:num>
  <w:num w:numId="16">
    <w:abstractNumId w:val="4"/>
  </w:num>
  <w:num w:numId="17">
    <w:abstractNumId w:val="18"/>
  </w:num>
  <w:num w:numId="18">
    <w:abstractNumId w:val="8"/>
  </w:num>
  <w:num w:numId="19">
    <w:abstractNumId w:val="0"/>
  </w:num>
  <w:num w:numId="20">
    <w:abstractNumId w:val="2"/>
  </w:num>
  <w:num w:numId="21">
    <w:abstractNumId w:val="3"/>
  </w:num>
  <w:num w:numId="22">
    <w:abstractNumId w:val="10"/>
  </w:num>
  <w:num w:numId="23">
    <w:abstractNumId w:val="1"/>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2227BC"/>
    <w:rsid w:val="012361AD"/>
    <w:rsid w:val="013E6BC5"/>
    <w:rsid w:val="013F7A03"/>
    <w:rsid w:val="016402CE"/>
    <w:rsid w:val="0181657E"/>
    <w:rsid w:val="01C37AF8"/>
    <w:rsid w:val="01C43939"/>
    <w:rsid w:val="01EB3A92"/>
    <w:rsid w:val="02132759"/>
    <w:rsid w:val="0222444D"/>
    <w:rsid w:val="023C2775"/>
    <w:rsid w:val="025A5203"/>
    <w:rsid w:val="02627A10"/>
    <w:rsid w:val="026A6ED2"/>
    <w:rsid w:val="02737E73"/>
    <w:rsid w:val="02811D65"/>
    <w:rsid w:val="0284643E"/>
    <w:rsid w:val="02996C22"/>
    <w:rsid w:val="02CB1826"/>
    <w:rsid w:val="02E51F96"/>
    <w:rsid w:val="03015D7F"/>
    <w:rsid w:val="03023110"/>
    <w:rsid w:val="03532C3F"/>
    <w:rsid w:val="035E745C"/>
    <w:rsid w:val="035F79EB"/>
    <w:rsid w:val="036A2B26"/>
    <w:rsid w:val="036D6407"/>
    <w:rsid w:val="03B25C4C"/>
    <w:rsid w:val="03D12146"/>
    <w:rsid w:val="03D24EAD"/>
    <w:rsid w:val="03F94E83"/>
    <w:rsid w:val="03FC4856"/>
    <w:rsid w:val="041C778B"/>
    <w:rsid w:val="04345173"/>
    <w:rsid w:val="045273D5"/>
    <w:rsid w:val="04577F93"/>
    <w:rsid w:val="04706353"/>
    <w:rsid w:val="047E59D0"/>
    <w:rsid w:val="048B7799"/>
    <w:rsid w:val="048F11FF"/>
    <w:rsid w:val="049359D5"/>
    <w:rsid w:val="04B72387"/>
    <w:rsid w:val="04C94658"/>
    <w:rsid w:val="04D37B5A"/>
    <w:rsid w:val="04D5788B"/>
    <w:rsid w:val="050D4324"/>
    <w:rsid w:val="052B0807"/>
    <w:rsid w:val="054D750F"/>
    <w:rsid w:val="05632A84"/>
    <w:rsid w:val="058C5A60"/>
    <w:rsid w:val="06045E70"/>
    <w:rsid w:val="060A4922"/>
    <w:rsid w:val="06360315"/>
    <w:rsid w:val="06677692"/>
    <w:rsid w:val="066F4060"/>
    <w:rsid w:val="067D4C1C"/>
    <w:rsid w:val="068F5699"/>
    <w:rsid w:val="069A1D58"/>
    <w:rsid w:val="06B127E5"/>
    <w:rsid w:val="06D837B6"/>
    <w:rsid w:val="0705530E"/>
    <w:rsid w:val="07067712"/>
    <w:rsid w:val="070E2577"/>
    <w:rsid w:val="072B6B98"/>
    <w:rsid w:val="072F2729"/>
    <w:rsid w:val="07722C34"/>
    <w:rsid w:val="077E7782"/>
    <w:rsid w:val="078903C0"/>
    <w:rsid w:val="078F6F15"/>
    <w:rsid w:val="07A9580A"/>
    <w:rsid w:val="07B35775"/>
    <w:rsid w:val="07C21FA9"/>
    <w:rsid w:val="07D06D7A"/>
    <w:rsid w:val="07DD5AB3"/>
    <w:rsid w:val="0811778C"/>
    <w:rsid w:val="08157906"/>
    <w:rsid w:val="08166EC2"/>
    <w:rsid w:val="082E2D58"/>
    <w:rsid w:val="08476CF8"/>
    <w:rsid w:val="08763D35"/>
    <w:rsid w:val="08844589"/>
    <w:rsid w:val="08891F5A"/>
    <w:rsid w:val="088D57DF"/>
    <w:rsid w:val="08A871B9"/>
    <w:rsid w:val="092A0C39"/>
    <w:rsid w:val="0957797D"/>
    <w:rsid w:val="096B6A5A"/>
    <w:rsid w:val="096E57BA"/>
    <w:rsid w:val="0972706B"/>
    <w:rsid w:val="09860267"/>
    <w:rsid w:val="098678CD"/>
    <w:rsid w:val="098F2094"/>
    <w:rsid w:val="09A342F4"/>
    <w:rsid w:val="09AB11E8"/>
    <w:rsid w:val="09C21BB6"/>
    <w:rsid w:val="0A046E11"/>
    <w:rsid w:val="0A5D0E7E"/>
    <w:rsid w:val="0A8C6CD6"/>
    <w:rsid w:val="0AFC60B7"/>
    <w:rsid w:val="0B6F6E61"/>
    <w:rsid w:val="0B793FFF"/>
    <w:rsid w:val="0B820D65"/>
    <w:rsid w:val="0BAD56E4"/>
    <w:rsid w:val="0BAD7041"/>
    <w:rsid w:val="0C00413A"/>
    <w:rsid w:val="0C115D76"/>
    <w:rsid w:val="0C137799"/>
    <w:rsid w:val="0C1551CE"/>
    <w:rsid w:val="0C1B4F3E"/>
    <w:rsid w:val="0C56233F"/>
    <w:rsid w:val="0C654E67"/>
    <w:rsid w:val="0C6F5654"/>
    <w:rsid w:val="0CB77457"/>
    <w:rsid w:val="0CDE5204"/>
    <w:rsid w:val="0CE24B83"/>
    <w:rsid w:val="0CE37C3D"/>
    <w:rsid w:val="0CE50ED4"/>
    <w:rsid w:val="0CF21C76"/>
    <w:rsid w:val="0D132BA9"/>
    <w:rsid w:val="0D660AC2"/>
    <w:rsid w:val="0D672BF6"/>
    <w:rsid w:val="0DC10615"/>
    <w:rsid w:val="0DCE068D"/>
    <w:rsid w:val="0DDC43A1"/>
    <w:rsid w:val="0E120AD5"/>
    <w:rsid w:val="0E3754E8"/>
    <w:rsid w:val="0E3D423F"/>
    <w:rsid w:val="0E5745A0"/>
    <w:rsid w:val="0E8829D1"/>
    <w:rsid w:val="0E933444"/>
    <w:rsid w:val="0E9A4B90"/>
    <w:rsid w:val="0EA33BDF"/>
    <w:rsid w:val="0EB06FFE"/>
    <w:rsid w:val="0EDE7F8B"/>
    <w:rsid w:val="0EEC1999"/>
    <w:rsid w:val="0EEE3958"/>
    <w:rsid w:val="0EF57D78"/>
    <w:rsid w:val="0F0A50A1"/>
    <w:rsid w:val="0F14151F"/>
    <w:rsid w:val="0F1D01AC"/>
    <w:rsid w:val="0F26446A"/>
    <w:rsid w:val="0F2A272E"/>
    <w:rsid w:val="0F50677D"/>
    <w:rsid w:val="0F973CB6"/>
    <w:rsid w:val="0F9C16C6"/>
    <w:rsid w:val="0FB56F6D"/>
    <w:rsid w:val="0FC166A9"/>
    <w:rsid w:val="0FFB1095"/>
    <w:rsid w:val="10150A41"/>
    <w:rsid w:val="101828E5"/>
    <w:rsid w:val="101B366C"/>
    <w:rsid w:val="102D15F4"/>
    <w:rsid w:val="103D4821"/>
    <w:rsid w:val="1042638F"/>
    <w:rsid w:val="1051081F"/>
    <w:rsid w:val="10587DFC"/>
    <w:rsid w:val="106824F5"/>
    <w:rsid w:val="10A655E0"/>
    <w:rsid w:val="10BE60B3"/>
    <w:rsid w:val="10D80AE3"/>
    <w:rsid w:val="11087971"/>
    <w:rsid w:val="111C11B7"/>
    <w:rsid w:val="11373F4A"/>
    <w:rsid w:val="11653C6F"/>
    <w:rsid w:val="117E25DB"/>
    <w:rsid w:val="11872682"/>
    <w:rsid w:val="11B51939"/>
    <w:rsid w:val="11F57174"/>
    <w:rsid w:val="123E7785"/>
    <w:rsid w:val="1257267A"/>
    <w:rsid w:val="126307F9"/>
    <w:rsid w:val="12694FD6"/>
    <w:rsid w:val="126E6143"/>
    <w:rsid w:val="12A472D8"/>
    <w:rsid w:val="12B47087"/>
    <w:rsid w:val="12DE4561"/>
    <w:rsid w:val="12E541BB"/>
    <w:rsid w:val="12FE321B"/>
    <w:rsid w:val="130859B8"/>
    <w:rsid w:val="13122E26"/>
    <w:rsid w:val="13190935"/>
    <w:rsid w:val="135349F3"/>
    <w:rsid w:val="1380021A"/>
    <w:rsid w:val="13A21BC8"/>
    <w:rsid w:val="13AE124E"/>
    <w:rsid w:val="13B80F55"/>
    <w:rsid w:val="13C224D7"/>
    <w:rsid w:val="13DD66A2"/>
    <w:rsid w:val="13F9086E"/>
    <w:rsid w:val="14054947"/>
    <w:rsid w:val="14130F08"/>
    <w:rsid w:val="141E5C0D"/>
    <w:rsid w:val="141F2191"/>
    <w:rsid w:val="14251812"/>
    <w:rsid w:val="14380455"/>
    <w:rsid w:val="143C29C7"/>
    <w:rsid w:val="14497411"/>
    <w:rsid w:val="146F482D"/>
    <w:rsid w:val="14970691"/>
    <w:rsid w:val="14A47EC8"/>
    <w:rsid w:val="14B665CE"/>
    <w:rsid w:val="14CA46D3"/>
    <w:rsid w:val="15043BF5"/>
    <w:rsid w:val="15050319"/>
    <w:rsid w:val="151A0845"/>
    <w:rsid w:val="154C13BE"/>
    <w:rsid w:val="1575AEB2"/>
    <w:rsid w:val="1579497C"/>
    <w:rsid w:val="15824EE1"/>
    <w:rsid w:val="15A70CF2"/>
    <w:rsid w:val="15CC20E6"/>
    <w:rsid w:val="15CE61CC"/>
    <w:rsid w:val="15EE136C"/>
    <w:rsid w:val="1609639B"/>
    <w:rsid w:val="162915A0"/>
    <w:rsid w:val="162C0344"/>
    <w:rsid w:val="162E3333"/>
    <w:rsid w:val="164F7F6D"/>
    <w:rsid w:val="165D61C4"/>
    <w:rsid w:val="165E068A"/>
    <w:rsid w:val="16932881"/>
    <w:rsid w:val="16A10349"/>
    <w:rsid w:val="16DB48B1"/>
    <w:rsid w:val="16E92C66"/>
    <w:rsid w:val="16F003E9"/>
    <w:rsid w:val="16F047F2"/>
    <w:rsid w:val="1702D3F2"/>
    <w:rsid w:val="17214315"/>
    <w:rsid w:val="17957399"/>
    <w:rsid w:val="17AD5D9B"/>
    <w:rsid w:val="17E809F8"/>
    <w:rsid w:val="180B054C"/>
    <w:rsid w:val="181B0B92"/>
    <w:rsid w:val="182F35F1"/>
    <w:rsid w:val="18556A1C"/>
    <w:rsid w:val="188D2058"/>
    <w:rsid w:val="18A50FDB"/>
    <w:rsid w:val="18B266E2"/>
    <w:rsid w:val="18BA7603"/>
    <w:rsid w:val="18FD3F86"/>
    <w:rsid w:val="190769D0"/>
    <w:rsid w:val="192000D8"/>
    <w:rsid w:val="192A6225"/>
    <w:rsid w:val="192B740B"/>
    <w:rsid w:val="19481FB4"/>
    <w:rsid w:val="19502875"/>
    <w:rsid w:val="19654572"/>
    <w:rsid w:val="19CF5864"/>
    <w:rsid w:val="19E0017B"/>
    <w:rsid w:val="19FA6F86"/>
    <w:rsid w:val="1A031C05"/>
    <w:rsid w:val="1A1C5725"/>
    <w:rsid w:val="1A2F55A6"/>
    <w:rsid w:val="1A514204"/>
    <w:rsid w:val="1AB87FE6"/>
    <w:rsid w:val="1B0E5AE1"/>
    <w:rsid w:val="1B2146E0"/>
    <w:rsid w:val="1B2E6DC7"/>
    <w:rsid w:val="1B4E3AF0"/>
    <w:rsid w:val="1B5316CE"/>
    <w:rsid w:val="1B5E59D2"/>
    <w:rsid w:val="1B7022F5"/>
    <w:rsid w:val="1B9F7ADA"/>
    <w:rsid w:val="1BCB1DA4"/>
    <w:rsid w:val="1BCB22F0"/>
    <w:rsid w:val="1BDC2DFC"/>
    <w:rsid w:val="1BFE480A"/>
    <w:rsid w:val="1C2168C5"/>
    <w:rsid w:val="1C3A713A"/>
    <w:rsid w:val="1C520FD9"/>
    <w:rsid w:val="1C766428"/>
    <w:rsid w:val="1C8C1338"/>
    <w:rsid w:val="1C921230"/>
    <w:rsid w:val="1CAA06DA"/>
    <w:rsid w:val="1CB626A2"/>
    <w:rsid w:val="1CC02EEB"/>
    <w:rsid w:val="1CC24BC0"/>
    <w:rsid w:val="1CF25833"/>
    <w:rsid w:val="1D1C6668"/>
    <w:rsid w:val="1D2355A7"/>
    <w:rsid w:val="1D465FAC"/>
    <w:rsid w:val="1D833CB2"/>
    <w:rsid w:val="1DD50930"/>
    <w:rsid w:val="1DE7561E"/>
    <w:rsid w:val="1DEC3E76"/>
    <w:rsid w:val="1DF407BB"/>
    <w:rsid w:val="1E081A8B"/>
    <w:rsid w:val="1E0C4688"/>
    <w:rsid w:val="1E1A5C57"/>
    <w:rsid w:val="1E38003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E41590"/>
    <w:rsid w:val="1FE437B8"/>
    <w:rsid w:val="1FEB5923"/>
    <w:rsid w:val="2013006C"/>
    <w:rsid w:val="20155923"/>
    <w:rsid w:val="201F621B"/>
    <w:rsid w:val="20275F86"/>
    <w:rsid w:val="20321F1E"/>
    <w:rsid w:val="20371EBA"/>
    <w:rsid w:val="20444561"/>
    <w:rsid w:val="204559CC"/>
    <w:rsid w:val="2050713D"/>
    <w:rsid w:val="2059267B"/>
    <w:rsid w:val="206262A6"/>
    <w:rsid w:val="206F6EF8"/>
    <w:rsid w:val="20910CB1"/>
    <w:rsid w:val="20AA069B"/>
    <w:rsid w:val="20BA2550"/>
    <w:rsid w:val="20CD42FE"/>
    <w:rsid w:val="20E65374"/>
    <w:rsid w:val="21035A99"/>
    <w:rsid w:val="21076873"/>
    <w:rsid w:val="21282288"/>
    <w:rsid w:val="218F7AC9"/>
    <w:rsid w:val="21AA0A4A"/>
    <w:rsid w:val="21B15D7D"/>
    <w:rsid w:val="21C35889"/>
    <w:rsid w:val="21EC38D8"/>
    <w:rsid w:val="22161566"/>
    <w:rsid w:val="222143B0"/>
    <w:rsid w:val="222575BE"/>
    <w:rsid w:val="2241276D"/>
    <w:rsid w:val="22653C75"/>
    <w:rsid w:val="227C2684"/>
    <w:rsid w:val="227C2816"/>
    <w:rsid w:val="22C22FF5"/>
    <w:rsid w:val="22F03980"/>
    <w:rsid w:val="22FE2795"/>
    <w:rsid w:val="231E4B98"/>
    <w:rsid w:val="23237381"/>
    <w:rsid w:val="232B0C4F"/>
    <w:rsid w:val="232D30A1"/>
    <w:rsid w:val="23680C07"/>
    <w:rsid w:val="236959BD"/>
    <w:rsid w:val="237C7CBF"/>
    <w:rsid w:val="23810D15"/>
    <w:rsid w:val="238B15F3"/>
    <w:rsid w:val="239E142D"/>
    <w:rsid w:val="23BD1EF4"/>
    <w:rsid w:val="23C657B0"/>
    <w:rsid w:val="23D61A36"/>
    <w:rsid w:val="242C1EDB"/>
    <w:rsid w:val="244B7353"/>
    <w:rsid w:val="245870DE"/>
    <w:rsid w:val="247247A7"/>
    <w:rsid w:val="2473146A"/>
    <w:rsid w:val="247B14A1"/>
    <w:rsid w:val="24970A67"/>
    <w:rsid w:val="24990B16"/>
    <w:rsid w:val="24D0128B"/>
    <w:rsid w:val="24D21AA8"/>
    <w:rsid w:val="24D4279B"/>
    <w:rsid w:val="250E5B71"/>
    <w:rsid w:val="2529504F"/>
    <w:rsid w:val="2560279C"/>
    <w:rsid w:val="257A7D01"/>
    <w:rsid w:val="25A0147F"/>
    <w:rsid w:val="26152CC2"/>
    <w:rsid w:val="26166BCB"/>
    <w:rsid w:val="261B156F"/>
    <w:rsid w:val="26230FC6"/>
    <w:rsid w:val="26276462"/>
    <w:rsid w:val="262A7AAC"/>
    <w:rsid w:val="264D17ED"/>
    <w:rsid w:val="266D1D9D"/>
    <w:rsid w:val="267C010D"/>
    <w:rsid w:val="26A53593"/>
    <w:rsid w:val="26AF1303"/>
    <w:rsid w:val="26AF7438"/>
    <w:rsid w:val="26EC778D"/>
    <w:rsid w:val="26EE7123"/>
    <w:rsid w:val="26F15181"/>
    <w:rsid w:val="26F60EF2"/>
    <w:rsid w:val="271411D6"/>
    <w:rsid w:val="271E241F"/>
    <w:rsid w:val="272C1CCE"/>
    <w:rsid w:val="27323917"/>
    <w:rsid w:val="27342BB0"/>
    <w:rsid w:val="274D75F4"/>
    <w:rsid w:val="27847B8F"/>
    <w:rsid w:val="27864A32"/>
    <w:rsid w:val="27C33078"/>
    <w:rsid w:val="27C5366D"/>
    <w:rsid w:val="27CE3285"/>
    <w:rsid w:val="27DD67CA"/>
    <w:rsid w:val="27EF2DBE"/>
    <w:rsid w:val="28621255"/>
    <w:rsid w:val="28690808"/>
    <w:rsid w:val="28A81FAC"/>
    <w:rsid w:val="28B07E55"/>
    <w:rsid w:val="28B54AA2"/>
    <w:rsid w:val="28B83265"/>
    <w:rsid w:val="28BC1634"/>
    <w:rsid w:val="28C77C30"/>
    <w:rsid w:val="28CC2FA1"/>
    <w:rsid w:val="290D04CF"/>
    <w:rsid w:val="291B6B03"/>
    <w:rsid w:val="291F43AD"/>
    <w:rsid w:val="29205EA8"/>
    <w:rsid w:val="294D7F95"/>
    <w:rsid w:val="295A76BB"/>
    <w:rsid w:val="295B3766"/>
    <w:rsid w:val="295E42D9"/>
    <w:rsid w:val="297D2BB6"/>
    <w:rsid w:val="297F342E"/>
    <w:rsid w:val="29AD65C9"/>
    <w:rsid w:val="2A0E7B44"/>
    <w:rsid w:val="2A0F0B23"/>
    <w:rsid w:val="2A0F0C79"/>
    <w:rsid w:val="2A2F123E"/>
    <w:rsid w:val="2A5E49BB"/>
    <w:rsid w:val="2A71440E"/>
    <w:rsid w:val="2A893D90"/>
    <w:rsid w:val="2A932738"/>
    <w:rsid w:val="2A9A305C"/>
    <w:rsid w:val="2A9D552B"/>
    <w:rsid w:val="2AB61FE9"/>
    <w:rsid w:val="2AC471E3"/>
    <w:rsid w:val="2ACB1712"/>
    <w:rsid w:val="2AF443C4"/>
    <w:rsid w:val="2AFE2B7E"/>
    <w:rsid w:val="2B1A73FE"/>
    <w:rsid w:val="2B26248E"/>
    <w:rsid w:val="2B273813"/>
    <w:rsid w:val="2B2A5602"/>
    <w:rsid w:val="2B3F1C6E"/>
    <w:rsid w:val="2B527EC9"/>
    <w:rsid w:val="2B6B1F23"/>
    <w:rsid w:val="2B8B5508"/>
    <w:rsid w:val="2B9D5A0C"/>
    <w:rsid w:val="2BB25377"/>
    <w:rsid w:val="2BDE1872"/>
    <w:rsid w:val="2BDF29BF"/>
    <w:rsid w:val="2BE142ED"/>
    <w:rsid w:val="2C15440D"/>
    <w:rsid w:val="2C174347"/>
    <w:rsid w:val="2C424B4D"/>
    <w:rsid w:val="2C8070D2"/>
    <w:rsid w:val="2CB23183"/>
    <w:rsid w:val="2CC8533D"/>
    <w:rsid w:val="2CD32952"/>
    <w:rsid w:val="2CF04E98"/>
    <w:rsid w:val="2CFD70CC"/>
    <w:rsid w:val="2D0E0A00"/>
    <w:rsid w:val="2D376513"/>
    <w:rsid w:val="2D3F2C8E"/>
    <w:rsid w:val="2D470923"/>
    <w:rsid w:val="2D4D0E21"/>
    <w:rsid w:val="2D694FE4"/>
    <w:rsid w:val="2D8A6FF6"/>
    <w:rsid w:val="2DC863F1"/>
    <w:rsid w:val="2DD75F85"/>
    <w:rsid w:val="2DF45B47"/>
    <w:rsid w:val="2DF53171"/>
    <w:rsid w:val="2DFB41DC"/>
    <w:rsid w:val="2E350033"/>
    <w:rsid w:val="2E4827D9"/>
    <w:rsid w:val="2E597C2E"/>
    <w:rsid w:val="2E5F4D48"/>
    <w:rsid w:val="2E6D6806"/>
    <w:rsid w:val="2E7F1DC7"/>
    <w:rsid w:val="2E930D3B"/>
    <w:rsid w:val="2EB72406"/>
    <w:rsid w:val="2ECA7E8A"/>
    <w:rsid w:val="2EE82E21"/>
    <w:rsid w:val="2F2367DE"/>
    <w:rsid w:val="2F2F7CA2"/>
    <w:rsid w:val="2F9D43DA"/>
    <w:rsid w:val="2FD27D5B"/>
    <w:rsid w:val="2FD74E2E"/>
    <w:rsid w:val="2FDF41BB"/>
    <w:rsid w:val="2FF0042F"/>
    <w:rsid w:val="2FF77AA0"/>
    <w:rsid w:val="2FF91044"/>
    <w:rsid w:val="302901BE"/>
    <w:rsid w:val="30497C87"/>
    <w:rsid w:val="304B7C60"/>
    <w:rsid w:val="30540837"/>
    <w:rsid w:val="3055096E"/>
    <w:rsid w:val="306A4FC0"/>
    <w:rsid w:val="308D7E44"/>
    <w:rsid w:val="30E55D82"/>
    <w:rsid w:val="30EC5CC6"/>
    <w:rsid w:val="30FB19DC"/>
    <w:rsid w:val="3107240D"/>
    <w:rsid w:val="31195FCB"/>
    <w:rsid w:val="314A3681"/>
    <w:rsid w:val="31542D3B"/>
    <w:rsid w:val="315E3DF0"/>
    <w:rsid w:val="3166748C"/>
    <w:rsid w:val="31862AA3"/>
    <w:rsid w:val="31900E67"/>
    <w:rsid w:val="31D56643"/>
    <w:rsid w:val="322E1B7A"/>
    <w:rsid w:val="32303C08"/>
    <w:rsid w:val="324568C8"/>
    <w:rsid w:val="324F2751"/>
    <w:rsid w:val="325F048D"/>
    <w:rsid w:val="32832752"/>
    <w:rsid w:val="329C47CD"/>
    <w:rsid w:val="32FE23BF"/>
    <w:rsid w:val="330E6893"/>
    <w:rsid w:val="331A34E4"/>
    <w:rsid w:val="332256D4"/>
    <w:rsid w:val="33DE0CB9"/>
    <w:rsid w:val="33EC1A91"/>
    <w:rsid w:val="33F64C7F"/>
    <w:rsid w:val="33FB7AC8"/>
    <w:rsid w:val="344277BC"/>
    <w:rsid w:val="344F7A97"/>
    <w:rsid w:val="34586101"/>
    <w:rsid w:val="346620C8"/>
    <w:rsid w:val="34680CAF"/>
    <w:rsid w:val="347744AE"/>
    <w:rsid w:val="34A45723"/>
    <w:rsid w:val="34AB7E73"/>
    <w:rsid w:val="34CC2CE0"/>
    <w:rsid w:val="34CF0216"/>
    <w:rsid w:val="3511129D"/>
    <w:rsid w:val="356A1C6B"/>
    <w:rsid w:val="35742CCA"/>
    <w:rsid w:val="35911F22"/>
    <w:rsid w:val="359455FE"/>
    <w:rsid w:val="35E37771"/>
    <w:rsid w:val="35EF263E"/>
    <w:rsid w:val="35FA0617"/>
    <w:rsid w:val="36091FD3"/>
    <w:rsid w:val="36714B62"/>
    <w:rsid w:val="369176E7"/>
    <w:rsid w:val="3694127A"/>
    <w:rsid w:val="369E1484"/>
    <w:rsid w:val="36B43102"/>
    <w:rsid w:val="36CD07B0"/>
    <w:rsid w:val="36EE4354"/>
    <w:rsid w:val="371724AD"/>
    <w:rsid w:val="372201DB"/>
    <w:rsid w:val="37282390"/>
    <w:rsid w:val="373242C4"/>
    <w:rsid w:val="37340EF6"/>
    <w:rsid w:val="373E20CB"/>
    <w:rsid w:val="374B60EF"/>
    <w:rsid w:val="374C5B70"/>
    <w:rsid w:val="37514821"/>
    <w:rsid w:val="375C57D7"/>
    <w:rsid w:val="37987F08"/>
    <w:rsid w:val="37CB3A11"/>
    <w:rsid w:val="37DD651E"/>
    <w:rsid w:val="37EB4DE1"/>
    <w:rsid w:val="3815223D"/>
    <w:rsid w:val="381A51F4"/>
    <w:rsid w:val="3823131E"/>
    <w:rsid w:val="383B0423"/>
    <w:rsid w:val="384D4EAB"/>
    <w:rsid w:val="386276E6"/>
    <w:rsid w:val="386C5C36"/>
    <w:rsid w:val="387B67FC"/>
    <w:rsid w:val="388A060E"/>
    <w:rsid w:val="38BA113F"/>
    <w:rsid w:val="38F53BAE"/>
    <w:rsid w:val="391B4947"/>
    <w:rsid w:val="39205BF2"/>
    <w:rsid w:val="392806A3"/>
    <w:rsid w:val="39362F4F"/>
    <w:rsid w:val="393855B5"/>
    <w:rsid w:val="39447902"/>
    <w:rsid w:val="39707B04"/>
    <w:rsid w:val="397347DF"/>
    <w:rsid w:val="397F1536"/>
    <w:rsid w:val="39AD6E99"/>
    <w:rsid w:val="39B500BF"/>
    <w:rsid w:val="39BB105A"/>
    <w:rsid w:val="39CC25A4"/>
    <w:rsid w:val="39E3386F"/>
    <w:rsid w:val="39E7205F"/>
    <w:rsid w:val="39ED0B9E"/>
    <w:rsid w:val="3A135075"/>
    <w:rsid w:val="3A474C0E"/>
    <w:rsid w:val="3A67157A"/>
    <w:rsid w:val="3A8424B5"/>
    <w:rsid w:val="3A857D28"/>
    <w:rsid w:val="3A9A43F1"/>
    <w:rsid w:val="3AA12DFF"/>
    <w:rsid w:val="3AAA7C42"/>
    <w:rsid w:val="3AB31D0C"/>
    <w:rsid w:val="3AC0587C"/>
    <w:rsid w:val="3B0E5515"/>
    <w:rsid w:val="3B3418DA"/>
    <w:rsid w:val="3B380971"/>
    <w:rsid w:val="3B3E48C1"/>
    <w:rsid w:val="3B4A3B53"/>
    <w:rsid w:val="3B722323"/>
    <w:rsid w:val="3B9A1F43"/>
    <w:rsid w:val="3BAF459B"/>
    <w:rsid w:val="3BC340D0"/>
    <w:rsid w:val="3BCA418F"/>
    <w:rsid w:val="3BD034C7"/>
    <w:rsid w:val="3BDA3DBC"/>
    <w:rsid w:val="3C2B53B9"/>
    <w:rsid w:val="3C2D3B81"/>
    <w:rsid w:val="3C365ECA"/>
    <w:rsid w:val="3C380947"/>
    <w:rsid w:val="3C3C2CEB"/>
    <w:rsid w:val="3C640E0E"/>
    <w:rsid w:val="3C923082"/>
    <w:rsid w:val="3CA13237"/>
    <w:rsid w:val="3CBD5FAE"/>
    <w:rsid w:val="3CBE64F1"/>
    <w:rsid w:val="3CCF13AD"/>
    <w:rsid w:val="3CE4238B"/>
    <w:rsid w:val="3CF61444"/>
    <w:rsid w:val="3CF65823"/>
    <w:rsid w:val="3D004ED6"/>
    <w:rsid w:val="3D0354C7"/>
    <w:rsid w:val="3D2818A3"/>
    <w:rsid w:val="3D402263"/>
    <w:rsid w:val="3D515511"/>
    <w:rsid w:val="3D6D132D"/>
    <w:rsid w:val="3D7359C7"/>
    <w:rsid w:val="3D7642C9"/>
    <w:rsid w:val="3DC2199E"/>
    <w:rsid w:val="3DC236A2"/>
    <w:rsid w:val="3DC711A7"/>
    <w:rsid w:val="3DD04A9B"/>
    <w:rsid w:val="3DDA6D42"/>
    <w:rsid w:val="3DFA6BAD"/>
    <w:rsid w:val="3DFC0CC4"/>
    <w:rsid w:val="3DFF13D1"/>
    <w:rsid w:val="3E055E2F"/>
    <w:rsid w:val="3E3A7708"/>
    <w:rsid w:val="3E5650B4"/>
    <w:rsid w:val="3E644A3A"/>
    <w:rsid w:val="3E7347F4"/>
    <w:rsid w:val="3E746699"/>
    <w:rsid w:val="3E774E9F"/>
    <w:rsid w:val="3E7B4E6D"/>
    <w:rsid w:val="3ECE73D3"/>
    <w:rsid w:val="3ED5386B"/>
    <w:rsid w:val="3EE04EC0"/>
    <w:rsid w:val="3EF83C43"/>
    <w:rsid w:val="3EFF1E72"/>
    <w:rsid w:val="3F01664D"/>
    <w:rsid w:val="3F03359F"/>
    <w:rsid w:val="3F175FC8"/>
    <w:rsid w:val="3FD010A5"/>
    <w:rsid w:val="3FD26C28"/>
    <w:rsid w:val="3FD90626"/>
    <w:rsid w:val="3FE25597"/>
    <w:rsid w:val="3FE86036"/>
    <w:rsid w:val="3FF752EF"/>
    <w:rsid w:val="401B166F"/>
    <w:rsid w:val="402327C5"/>
    <w:rsid w:val="405227FD"/>
    <w:rsid w:val="40553DBB"/>
    <w:rsid w:val="407121F8"/>
    <w:rsid w:val="40727205"/>
    <w:rsid w:val="40740EA4"/>
    <w:rsid w:val="407868C4"/>
    <w:rsid w:val="407B71B3"/>
    <w:rsid w:val="40850DCD"/>
    <w:rsid w:val="40A86A35"/>
    <w:rsid w:val="40B02347"/>
    <w:rsid w:val="40C9499F"/>
    <w:rsid w:val="4108158E"/>
    <w:rsid w:val="410A2C4A"/>
    <w:rsid w:val="412F1013"/>
    <w:rsid w:val="41581722"/>
    <w:rsid w:val="419532ED"/>
    <w:rsid w:val="419B3D5B"/>
    <w:rsid w:val="41AC1D9C"/>
    <w:rsid w:val="41BC3617"/>
    <w:rsid w:val="41DD01B8"/>
    <w:rsid w:val="42394836"/>
    <w:rsid w:val="423D24D5"/>
    <w:rsid w:val="4242619A"/>
    <w:rsid w:val="424F6EDD"/>
    <w:rsid w:val="428D2478"/>
    <w:rsid w:val="42B20782"/>
    <w:rsid w:val="42B707C1"/>
    <w:rsid w:val="42DF035B"/>
    <w:rsid w:val="42F2086D"/>
    <w:rsid w:val="42F547BF"/>
    <w:rsid w:val="430A6BB3"/>
    <w:rsid w:val="431516B3"/>
    <w:rsid w:val="43312245"/>
    <w:rsid w:val="435E1BE6"/>
    <w:rsid w:val="438F37A9"/>
    <w:rsid w:val="43994B5C"/>
    <w:rsid w:val="43A35BAC"/>
    <w:rsid w:val="43CA7211"/>
    <w:rsid w:val="43F7565F"/>
    <w:rsid w:val="44312E59"/>
    <w:rsid w:val="4452439C"/>
    <w:rsid w:val="44675F50"/>
    <w:rsid w:val="446E2683"/>
    <w:rsid w:val="447177A7"/>
    <w:rsid w:val="448B7CB5"/>
    <w:rsid w:val="44917C93"/>
    <w:rsid w:val="44BD24BB"/>
    <w:rsid w:val="45021BC2"/>
    <w:rsid w:val="45441242"/>
    <w:rsid w:val="455F4C9C"/>
    <w:rsid w:val="45950B66"/>
    <w:rsid w:val="45961040"/>
    <w:rsid w:val="45BF4853"/>
    <w:rsid w:val="46136785"/>
    <w:rsid w:val="46141491"/>
    <w:rsid w:val="462E578F"/>
    <w:rsid w:val="46487CC3"/>
    <w:rsid w:val="46876CFF"/>
    <w:rsid w:val="46D41E44"/>
    <w:rsid w:val="46D93C52"/>
    <w:rsid w:val="472D41FA"/>
    <w:rsid w:val="472F3155"/>
    <w:rsid w:val="47353225"/>
    <w:rsid w:val="479A09A1"/>
    <w:rsid w:val="47A4662F"/>
    <w:rsid w:val="47A5261F"/>
    <w:rsid w:val="47AE2F53"/>
    <w:rsid w:val="47BB1643"/>
    <w:rsid w:val="47CE46DA"/>
    <w:rsid w:val="47E94F34"/>
    <w:rsid w:val="48202D76"/>
    <w:rsid w:val="488A4398"/>
    <w:rsid w:val="48CA5E73"/>
    <w:rsid w:val="48CC4877"/>
    <w:rsid w:val="48CE1A00"/>
    <w:rsid w:val="490F3065"/>
    <w:rsid w:val="49216A6A"/>
    <w:rsid w:val="492E16ED"/>
    <w:rsid w:val="49502142"/>
    <w:rsid w:val="49521992"/>
    <w:rsid w:val="496938E0"/>
    <w:rsid w:val="496B37C1"/>
    <w:rsid w:val="49882B35"/>
    <w:rsid w:val="498E62B7"/>
    <w:rsid w:val="49B76F66"/>
    <w:rsid w:val="49BA7D50"/>
    <w:rsid w:val="49C44B33"/>
    <w:rsid w:val="49D17660"/>
    <w:rsid w:val="49F273C7"/>
    <w:rsid w:val="4A160844"/>
    <w:rsid w:val="4A7C2A22"/>
    <w:rsid w:val="4A8604DA"/>
    <w:rsid w:val="4AAA62AF"/>
    <w:rsid w:val="4AFE0DE7"/>
    <w:rsid w:val="4B094C89"/>
    <w:rsid w:val="4B104ABC"/>
    <w:rsid w:val="4B255188"/>
    <w:rsid w:val="4B2D6CE4"/>
    <w:rsid w:val="4B2E5E75"/>
    <w:rsid w:val="4B383F2F"/>
    <w:rsid w:val="4B3872E6"/>
    <w:rsid w:val="4B625E65"/>
    <w:rsid w:val="4B627D35"/>
    <w:rsid w:val="4B677E52"/>
    <w:rsid w:val="4B7F05B4"/>
    <w:rsid w:val="4B871486"/>
    <w:rsid w:val="4BBD255E"/>
    <w:rsid w:val="4C140DFC"/>
    <w:rsid w:val="4C3B5420"/>
    <w:rsid w:val="4C3E45A0"/>
    <w:rsid w:val="4C515227"/>
    <w:rsid w:val="4C5604A8"/>
    <w:rsid w:val="4C6D0539"/>
    <w:rsid w:val="4C8721E5"/>
    <w:rsid w:val="4C987828"/>
    <w:rsid w:val="4CA149AE"/>
    <w:rsid w:val="4CA50C40"/>
    <w:rsid w:val="4D2744ED"/>
    <w:rsid w:val="4D35388D"/>
    <w:rsid w:val="4D3741CF"/>
    <w:rsid w:val="4D425A95"/>
    <w:rsid w:val="4D7A0B6A"/>
    <w:rsid w:val="4DA408AB"/>
    <w:rsid w:val="4DB0348E"/>
    <w:rsid w:val="4DC915FF"/>
    <w:rsid w:val="4DD81B64"/>
    <w:rsid w:val="4DDE1762"/>
    <w:rsid w:val="4DEE15CF"/>
    <w:rsid w:val="4DF51404"/>
    <w:rsid w:val="4DF766ED"/>
    <w:rsid w:val="4E5633F4"/>
    <w:rsid w:val="4E6B485C"/>
    <w:rsid w:val="4E7740D9"/>
    <w:rsid w:val="4EAC0AFF"/>
    <w:rsid w:val="4EC2021D"/>
    <w:rsid w:val="4EFB7AAC"/>
    <w:rsid w:val="4F001CA3"/>
    <w:rsid w:val="4F084B37"/>
    <w:rsid w:val="4F1971FB"/>
    <w:rsid w:val="4F51625A"/>
    <w:rsid w:val="4F805D9D"/>
    <w:rsid w:val="4F914334"/>
    <w:rsid w:val="4FAC2061"/>
    <w:rsid w:val="4FBB221F"/>
    <w:rsid w:val="50036E2B"/>
    <w:rsid w:val="501E4753"/>
    <w:rsid w:val="504B0DF0"/>
    <w:rsid w:val="50510E8E"/>
    <w:rsid w:val="50637ABB"/>
    <w:rsid w:val="50795BD3"/>
    <w:rsid w:val="50924D47"/>
    <w:rsid w:val="50BD1398"/>
    <w:rsid w:val="50E75DFA"/>
    <w:rsid w:val="50FD13B2"/>
    <w:rsid w:val="511518E7"/>
    <w:rsid w:val="51282D4D"/>
    <w:rsid w:val="51327881"/>
    <w:rsid w:val="51472876"/>
    <w:rsid w:val="51506626"/>
    <w:rsid w:val="51670B73"/>
    <w:rsid w:val="5169168B"/>
    <w:rsid w:val="51926DC2"/>
    <w:rsid w:val="51A85918"/>
    <w:rsid w:val="51B92337"/>
    <w:rsid w:val="51C47CF6"/>
    <w:rsid w:val="51D414D1"/>
    <w:rsid w:val="521B4163"/>
    <w:rsid w:val="529641A0"/>
    <w:rsid w:val="529F3F6F"/>
    <w:rsid w:val="52C9608E"/>
    <w:rsid w:val="52D9178A"/>
    <w:rsid w:val="52FE30BB"/>
    <w:rsid w:val="532F01FB"/>
    <w:rsid w:val="5356206E"/>
    <w:rsid w:val="536E79E7"/>
    <w:rsid w:val="5375123D"/>
    <w:rsid w:val="538B500A"/>
    <w:rsid w:val="5395369D"/>
    <w:rsid w:val="53F313A1"/>
    <w:rsid w:val="54207E6C"/>
    <w:rsid w:val="54B40D35"/>
    <w:rsid w:val="54CE2507"/>
    <w:rsid w:val="54D87345"/>
    <w:rsid w:val="55041845"/>
    <w:rsid w:val="55181CD2"/>
    <w:rsid w:val="552359D0"/>
    <w:rsid w:val="55474BFE"/>
    <w:rsid w:val="555A759A"/>
    <w:rsid w:val="555B7D08"/>
    <w:rsid w:val="556F7282"/>
    <w:rsid w:val="557837FF"/>
    <w:rsid w:val="557C2EDD"/>
    <w:rsid w:val="55932908"/>
    <w:rsid w:val="559B4141"/>
    <w:rsid w:val="55BB65AB"/>
    <w:rsid w:val="55BD4A9F"/>
    <w:rsid w:val="55D01D97"/>
    <w:rsid w:val="55D9013B"/>
    <w:rsid w:val="55DF5A77"/>
    <w:rsid w:val="55E9733B"/>
    <w:rsid w:val="55F611D5"/>
    <w:rsid w:val="56311EFB"/>
    <w:rsid w:val="56435B11"/>
    <w:rsid w:val="565A7E63"/>
    <w:rsid w:val="565E0057"/>
    <w:rsid w:val="56745085"/>
    <w:rsid w:val="569A4DDE"/>
    <w:rsid w:val="56A37ED2"/>
    <w:rsid w:val="56C20B3A"/>
    <w:rsid w:val="56D951D8"/>
    <w:rsid w:val="57114B38"/>
    <w:rsid w:val="57244B18"/>
    <w:rsid w:val="572F65FC"/>
    <w:rsid w:val="57323D7B"/>
    <w:rsid w:val="5754428D"/>
    <w:rsid w:val="57775C20"/>
    <w:rsid w:val="577A519D"/>
    <w:rsid w:val="5784017F"/>
    <w:rsid w:val="578877B2"/>
    <w:rsid w:val="57931253"/>
    <w:rsid w:val="579345B0"/>
    <w:rsid w:val="579B183D"/>
    <w:rsid w:val="57E553DC"/>
    <w:rsid w:val="57EA6028"/>
    <w:rsid w:val="57EF6871"/>
    <w:rsid w:val="57F801CA"/>
    <w:rsid w:val="57FE4B2C"/>
    <w:rsid w:val="5806770C"/>
    <w:rsid w:val="58235FFE"/>
    <w:rsid w:val="58240039"/>
    <w:rsid w:val="5828231D"/>
    <w:rsid w:val="582F5FB6"/>
    <w:rsid w:val="58446A9A"/>
    <w:rsid w:val="58797B85"/>
    <w:rsid w:val="588E1B2D"/>
    <w:rsid w:val="58AC1B34"/>
    <w:rsid w:val="58DE4F52"/>
    <w:rsid w:val="58E87853"/>
    <w:rsid w:val="58F975F9"/>
    <w:rsid w:val="595A121E"/>
    <w:rsid w:val="595E5E8F"/>
    <w:rsid w:val="598E354F"/>
    <w:rsid w:val="599D777F"/>
    <w:rsid w:val="59AD6642"/>
    <w:rsid w:val="59C75644"/>
    <w:rsid w:val="5A0D1E1B"/>
    <w:rsid w:val="5A1358BE"/>
    <w:rsid w:val="5A9B60CF"/>
    <w:rsid w:val="5AE252AD"/>
    <w:rsid w:val="5AE801DE"/>
    <w:rsid w:val="5AF07FF7"/>
    <w:rsid w:val="5AF422E5"/>
    <w:rsid w:val="5B055B8B"/>
    <w:rsid w:val="5B512B1F"/>
    <w:rsid w:val="5B6434B9"/>
    <w:rsid w:val="5B9A384A"/>
    <w:rsid w:val="5BA16ADF"/>
    <w:rsid w:val="5BC53FD9"/>
    <w:rsid w:val="5BD76CE2"/>
    <w:rsid w:val="5BF243F2"/>
    <w:rsid w:val="5BF26431"/>
    <w:rsid w:val="5C006D9C"/>
    <w:rsid w:val="5C01190A"/>
    <w:rsid w:val="5C0E728A"/>
    <w:rsid w:val="5C1C7139"/>
    <w:rsid w:val="5C5460F8"/>
    <w:rsid w:val="5C7965BA"/>
    <w:rsid w:val="5C8D0454"/>
    <w:rsid w:val="5C904D30"/>
    <w:rsid w:val="5CC910D9"/>
    <w:rsid w:val="5CCA2991"/>
    <w:rsid w:val="5CCC7D4D"/>
    <w:rsid w:val="5D272F84"/>
    <w:rsid w:val="5D443734"/>
    <w:rsid w:val="5D4906B8"/>
    <w:rsid w:val="5D573AAA"/>
    <w:rsid w:val="5DD5283F"/>
    <w:rsid w:val="5DFB535E"/>
    <w:rsid w:val="5E014018"/>
    <w:rsid w:val="5E3E3656"/>
    <w:rsid w:val="5E4A1248"/>
    <w:rsid w:val="5E6B7E83"/>
    <w:rsid w:val="5E780DEA"/>
    <w:rsid w:val="5E7B7D5D"/>
    <w:rsid w:val="5E8E5422"/>
    <w:rsid w:val="5E967BC7"/>
    <w:rsid w:val="5EBF641D"/>
    <w:rsid w:val="5ECB1097"/>
    <w:rsid w:val="5EDA541B"/>
    <w:rsid w:val="5EDF0BC7"/>
    <w:rsid w:val="5EE31366"/>
    <w:rsid w:val="5EEB572F"/>
    <w:rsid w:val="5EF67CAA"/>
    <w:rsid w:val="5EF70321"/>
    <w:rsid w:val="5EFA7DCF"/>
    <w:rsid w:val="5F1159EE"/>
    <w:rsid w:val="5F132495"/>
    <w:rsid w:val="5F183785"/>
    <w:rsid w:val="5F192C0B"/>
    <w:rsid w:val="5F4A5F40"/>
    <w:rsid w:val="5F503BD5"/>
    <w:rsid w:val="5F631FA8"/>
    <w:rsid w:val="5FB47922"/>
    <w:rsid w:val="5FC8581F"/>
    <w:rsid w:val="5FDE65E5"/>
    <w:rsid w:val="5FE75659"/>
    <w:rsid w:val="5FE90AF8"/>
    <w:rsid w:val="5FFC4FB3"/>
    <w:rsid w:val="5FFC7F84"/>
    <w:rsid w:val="600327E7"/>
    <w:rsid w:val="60371E1A"/>
    <w:rsid w:val="6042150C"/>
    <w:rsid w:val="60843483"/>
    <w:rsid w:val="609304D5"/>
    <w:rsid w:val="609C1A2D"/>
    <w:rsid w:val="61050DE0"/>
    <w:rsid w:val="610B0AE6"/>
    <w:rsid w:val="612E38D8"/>
    <w:rsid w:val="614A2142"/>
    <w:rsid w:val="61531DCE"/>
    <w:rsid w:val="615F337C"/>
    <w:rsid w:val="61675E10"/>
    <w:rsid w:val="618064C2"/>
    <w:rsid w:val="61920A41"/>
    <w:rsid w:val="61943B9E"/>
    <w:rsid w:val="61BC23D0"/>
    <w:rsid w:val="61D050B8"/>
    <w:rsid w:val="621B0D5E"/>
    <w:rsid w:val="625D4569"/>
    <w:rsid w:val="626226F9"/>
    <w:rsid w:val="62665DC7"/>
    <w:rsid w:val="627175DC"/>
    <w:rsid w:val="62930E52"/>
    <w:rsid w:val="62D7433C"/>
    <w:rsid w:val="62E155D8"/>
    <w:rsid w:val="631D4B61"/>
    <w:rsid w:val="63212F32"/>
    <w:rsid w:val="632F6127"/>
    <w:rsid w:val="635A4BE4"/>
    <w:rsid w:val="635F1FDF"/>
    <w:rsid w:val="63664ABF"/>
    <w:rsid w:val="636E431C"/>
    <w:rsid w:val="63BE4D5A"/>
    <w:rsid w:val="63E4433E"/>
    <w:rsid w:val="64041E7F"/>
    <w:rsid w:val="64290F64"/>
    <w:rsid w:val="64377D57"/>
    <w:rsid w:val="645143E6"/>
    <w:rsid w:val="64636D0B"/>
    <w:rsid w:val="64A83DA6"/>
    <w:rsid w:val="64B13D75"/>
    <w:rsid w:val="64BC1880"/>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80376E"/>
    <w:rsid w:val="66824F18"/>
    <w:rsid w:val="66914004"/>
    <w:rsid w:val="66B920EF"/>
    <w:rsid w:val="66B971D1"/>
    <w:rsid w:val="66DD4FD8"/>
    <w:rsid w:val="66ED31EA"/>
    <w:rsid w:val="66F14F6F"/>
    <w:rsid w:val="66F5579B"/>
    <w:rsid w:val="6725236A"/>
    <w:rsid w:val="672A7FDE"/>
    <w:rsid w:val="672B2DF7"/>
    <w:rsid w:val="6735506E"/>
    <w:rsid w:val="67361532"/>
    <w:rsid w:val="673E3934"/>
    <w:rsid w:val="674C28A2"/>
    <w:rsid w:val="67864A7F"/>
    <w:rsid w:val="678C79BF"/>
    <w:rsid w:val="67976D28"/>
    <w:rsid w:val="67D10605"/>
    <w:rsid w:val="67D13F01"/>
    <w:rsid w:val="67E748E0"/>
    <w:rsid w:val="67F5278C"/>
    <w:rsid w:val="67F75E8E"/>
    <w:rsid w:val="68277913"/>
    <w:rsid w:val="68293C00"/>
    <w:rsid w:val="6848420E"/>
    <w:rsid w:val="689C7721"/>
    <w:rsid w:val="68E34B21"/>
    <w:rsid w:val="68F13B92"/>
    <w:rsid w:val="691867A1"/>
    <w:rsid w:val="691A3243"/>
    <w:rsid w:val="69221EE6"/>
    <w:rsid w:val="69260B3E"/>
    <w:rsid w:val="696C42BB"/>
    <w:rsid w:val="697A3A8B"/>
    <w:rsid w:val="698A6B0F"/>
    <w:rsid w:val="69BF5FB8"/>
    <w:rsid w:val="69CC14E2"/>
    <w:rsid w:val="69CD6393"/>
    <w:rsid w:val="69EC4C9C"/>
    <w:rsid w:val="69F1784C"/>
    <w:rsid w:val="6A085BC1"/>
    <w:rsid w:val="6A1C7593"/>
    <w:rsid w:val="6A1F7A9F"/>
    <w:rsid w:val="6A38427B"/>
    <w:rsid w:val="6A76421E"/>
    <w:rsid w:val="6A782EAA"/>
    <w:rsid w:val="6A7D12F1"/>
    <w:rsid w:val="6A8D51AE"/>
    <w:rsid w:val="6AC50D10"/>
    <w:rsid w:val="6AC76160"/>
    <w:rsid w:val="6AD3150D"/>
    <w:rsid w:val="6AF3139D"/>
    <w:rsid w:val="6AFA6684"/>
    <w:rsid w:val="6AFB6699"/>
    <w:rsid w:val="6B0B0E23"/>
    <w:rsid w:val="6B1C49E7"/>
    <w:rsid w:val="6B2A3BF0"/>
    <w:rsid w:val="6B435052"/>
    <w:rsid w:val="6B4873EB"/>
    <w:rsid w:val="6B5657F4"/>
    <w:rsid w:val="6B5F24B5"/>
    <w:rsid w:val="6B704279"/>
    <w:rsid w:val="6B731F50"/>
    <w:rsid w:val="6BB24687"/>
    <w:rsid w:val="6BE82C6E"/>
    <w:rsid w:val="6BEC58FB"/>
    <w:rsid w:val="6BF53230"/>
    <w:rsid w:val="6BF7258C"/>
    <w:rsid w:val="6C0621AA"/>
    <w:rsid w:val="6C5628B0"/>
    <w:rsid w:val="6C667711"/>
    <w:rsid w:val="6C79584D"/>
    <w:rsid w:val="6CDA7FFC"/>
    <w:rsid w:val="6CDB746B"/>
    <w:rsid w:val="6CE23C20"/>
    <w:rsid w:val="6CEF7A41"/>
    <w:rsid w:val="6D020EA1"/>
    <w:rsid w:val="6D4A3B5E"/>
    <w:rsid w:val="6D6043CF"/>
    <w:rsid w:val="6D777815"/>
    <w:rsid w:val="6DBA1DDD"/>
    <w:rsid w:val="6DC620EB"/>
    <w:rsid w:val="6DDA0CCD"/>
    <w:rsid w:val="6DE74779"/>
    <w:rsid w:val="6E0F1211"/>
    <w:rsid w:val="6E157FB3"/>
    <w:rsid w:val="6E6A7916"/>
    <w:rsid w:val="6E732CEA"/>
    <w:rsid w:val="6EE70A89"/>
    <w:rsid w:val="6EF00E07"/>
    <w:rsid w:val="6F015689"/>
    <w:rsid w:val="6F3B7D08"/>
    <w:rsid w:val="6F596421"/>
    <w:rsid w:val="6F5B1BC6"/>
    <w:rsid w:val="6F6B7D6A"/>
    <w:rsid w:val="6F717B6E"/>
    <w:rsid w:val="6FB30B76"/>
    <w:rsid w:val="6FBD0858"/>
    <w:rsid w:val="6FC72452"/>
    <w:rsid w:val="6FEA5836"/>
    <w:rsid w:val="706D1EE1"/>
    <w:rsid w:val="708C3687"/>
    <w:rsid w:val="709241E9"/>
    <w:rsid w:val="70AB0E5A"/>
    <w:rsid w:val="70EA7B43"/>
    <w:rsid w:val="70F754D7"/>
    <w:rsid w:val="70F825BD"/>
    <w:rsid w:val="71020BA8"/>
    <w:rsid w:val="710C7745"/>
    <w:rsid w:val="713B6599"/>
    <w:rsid w:val="71615427"/>
    <w:rsid w:val="71963E0C"/>
    <w:rsid w:val="71AC4F7C"/>
    <w:rsid w:val="71B07F93"/>
    <w:rsid w:val="72117333"/>
    <w:rsid w:val="723B3342"/>
    <w:rsid w:val="724C04FD"/>
    <w:rsid w:val="724E3562"/>
    <w:rsid w:val="725306B2"/>
    <w:rsid w:val="729647EA"/>
    <w:rsid w:val="72B10F20"/>
    <w:rsid w:val="72E1752D"/>
    <w:rsid w:val="73725529"/>
    <w:rsid w:val="73951F43"/>
    <w:rsid w:val="73A015C2"/>
    <w:rsid w:val="73A913CF"/>
    <w:rsid w:val="73EB1497"/>
    <w:rsid w:val="74000A47"/>
    <w:rsid w:val="740B65B5"/>
    <w:rsid w:val="74484526"/>
    <w:rsid w:val="745B45EA"/>
    <w:rsid w:val="745D0DBF"/>
    <w:rsid w:val="74885606"/>
    <w:rsid w:val="74902EB2"/>
    <w:rsid w:val="74B06B64"/>
    <w:rsid w:val="74BB6271"/>
    <w:rsid w:val="74D21BE2"/>
    <w:rsid w:val="751115BE"/>
    <w:rsid w:val="751F2214"/>
    <w:rsid w:val="75380027"/>
    <w:rsid w:val="754E2408"/>
    <w:rsid w:val="75580F8A"/>
    <w:rsid w:val="755901B1"/>
    <w:rsid w:val="75641A99"/>
    <w:rsid w:val="75740E00"/>
    <w:rsid w:val="757F162D"/>
    <w:rsid w:val="7580114E"/>
    <w:rsid w:val="7588768D"/>
    <w:rsid w:val="7598022F"/>
    <w:rsid w:val="75A65C89"/>
    <w:rsid w:val="75BE31B8"/>
    <w:rsid w:val="75CC2D4E"/>
    <w:rsid w:val="75CD3E0E"/>
    <w:rsid w:val="75DE6456"/>
    <w:rsid w:val="75F71430"/>
    <w:rsid w:val="7616035B"/>
    <w:rsid w:val="763A080C"/>
    <w:rsid w:val="765A6478"/>
    <w:rsid w:val="76641507"/>
    <w:rsid w:val="76EB5B39"/>
    <w:rsid w:val="76ED2AF4"/>
    <w:rsid w:val="76FD27E7"/>
    <w:rsid w:val="77020138"/>
    <w:rsid w:val="77042F0B"/>
    <w:rsid w:val="77101C07"/>
    <w:rsid w:val="77132632"/>
    <w:rsid w:val="771478EB"/>
    <w:rsid w:val="77242260"/>
    <w:rsid w:val="77337668"/>
    <w:rsid w:val="773E5387"/>
    <w:rsid w:val="77407904"/>
    <w:rsid w:val="775A5AE2"/>
    <w:rsid w:val="776F4F23"/>
    <w:rsid w:val="77B14E94"/>
    <w:rsid w:val="77B61C34"/>
    <w:rsid w:val="77E359DC"/>
    <w:rsid w:val="780363C1"/>
    <w:rsid w:val="78156E78"/>
    <w:rsid w:val="782D5EAF"/>
    <w:rsid w:val="78604CAD"/>
    <w:rsid w:val="78833E10"/>
    <w:rsid w:val="78857F16"/>
    <w:rsid w:val="7897138D"/>
    <w:rsid w:val="789F1175"/>
    <w:rsid w:val="78A335C7"/>
    <w:rsid w:val="78A515AE"/>
    <w:rsid w:val="790842E1"/>
    <w:rsid w:val="790B385D"/>
    <w:rsid w:val="79176CCC"/>
    <w:rsid w:val="791C1026"/>
    <w:rsid w:val="792778C8"/>
    <w:rsid w:val="7931734A"/>
    <w:rsid w:val="793C27DB"/>
    <w:rsid w:val="794B5A64"/>
    <w:rsid w:val="796124CE"/>
    <w:rsid w:val="79700230"/>
    <w:rsid w:val="7982765F"/>
    <w:rsid w:val="798F6CFA"/>
    <w:rsid w:val="79983041"/>
    <w:rsid w:val="79AF2036"/>
    <w:rsid w:val="79BD46A6"/>
    <w:rsid w:val="79C945D5"/>
    <w:rsid w:val="7A36081C"/>
    <w:rsid w:val="7A431A7E"/>
    <w:rsid w:val="7A670818"/>
    <w:rsid w:val="7A91133C"/>
    <w:rsid w:val="7AB327A7"/>
    <w:rsid w:val="7AD04A1A"/>
    <w:rsid w:val="7ADB38D4"/>
    <w:rsid w:val="7AE0744A"/>
    <w:rsid w:val="7AE453EE"/>
    <w:rsid w:val="7B1675F8"/>
    <w:rsid w:val="7B1C17B9"/>
    <w:rsid w:val="7B2044F7"/>
    <w:rsid w:val="7B310E5D"/>
    <w:rsid w:val="7B5A6F58"/>
    <w:rsid w:val="7B6C3958"/>
    <w:rsid w:val="7BA36090"/>
    <w:rsid w:val="7BA4067E"/>
    <w:rsid w:val="7BC474FD"/>
    <w:rsid w:val="7BC84C59"/>
    <w:rsid w:val="7BDD642E"/>
    <w:rsid w:val="7BF00D94"/>
    <w:rsid w:val="7BF13877"/>
    <w:rsid w:val="7BF85702"/>
    <w:rsid w:val="7C004AA5"/>
    <w:rsid w:val="7C01401C"/>
    <w:rsid w:val="7C587C3D"/>
    <w:rsid w:val="7C782645"/>
    <w:rsid w:val="7C7E290F"/>
    <w:rsid w:val="7C98675C"/>
    <w:rsid w:val="7CA81026"/>
    <w:rsid w:val="7CB33935"/>
    <w:rsid w:val="7CB86B17"/>
    <w:rsid w:val="7CC85AEF"/>
    <w:rsid w:val="7CCA756B"/>
    <w:rsid w:val="7CCD3892"/>
    <w:rsid w:val="7CCD66F5"/>
    <w:rsid w:val="7CD04728"/>
    <w:rsid w:val="7CF20ECE"/>
    <w:rsid w:val="7D1E5454"/>
    <w:rsid w:val="7D7A3E7D"/>
    <w:rsid w:val="7D9F26BC"/>
    <w:rsid w:val="7DBE1A3A"/>
    <w:rsid w:val="7DD2691C"/>
    <w:rsid w:val="7E021E79"/>
    <w:rsid w:val="7E2870F4"/>
    <w:rsid w:val="7E333FDB"/>
    <w:rsid w:val="7E3563A1"/>
    <w:rsid w:val="7E3842C6"/>
    <w:rsid w:val="7E654AE8"/>
    <w:rsid w:val="7E735DA8"/>
    <w:rsid w:val="7E753CCA"/>
    <w:rsid w:val="7E9326F9"/>
    <w:rsid w:val="7E9D42A8"/>
    <w:rsid w:val="7EE10C39"/>
    <w:rsid w:val="7EE20452"/>
    <w:rsid w:val="7F0728CE"/>
    <w:rsid w:val="7F0E6A25"/>
    <w:rsid w:val="7F395D9C"/>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3.xml"/><Relationship Id="rId12" Type="http://schemas.openxmlformats.org/officeDocument/2006/relationships/image" Target="media/image4.png"/><Relationship Id="rId11" Type="http://schemas.openxmlformats.org/officeDocument/2006/relationships/chart" Target="charts/chart2.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enhancement仿真结果.xlsx]20200114-无跳频'!$A$504</c:f>
              <c:strCache>
                <c:ptCount val="1"/>
                <c:pt idx="0">
                  <c:v>8 repetitions 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enhancement仿真结果.xlsx]20200114-无跳频'!$B$504:$G$504</c:f>
              <c:numCache>
                <c:formatCode>General</c:formatCode>
                <c:ptCount val="6"/>
                <c:pt idx="0">
                  <c:v>0.95196</c:v>
                </c:pt>
                <c:pt idx="1">
                  <c:v>0.83026</c:v>
                </c:pt>
                <c:pt idx="2">
                  <c:v>0.60048</c:v>
                </c:pt>
                <c:pt idx="3">
                  <c:v>0.35308</c:v>
                </c:pt>
                <c:pt idx="4">
                  <c:v>0.17374</c:v>
                </c:pt>
                <c:pt idx="5">
                  <c:v>0.07206</c:v>
                </c:pt>
              </c:numCache>
            </c:numRef>
          </c:val>
          <c:smooth val="0"/>
        </c:ser>
        <c:ser>
          <c:idx val="1"/>
          <c:order val="1"/>
          <c:tx>
            <c:strRef>
              <c:f>'[Coverage enhancement仿真结果.xlsx]20200114-无跳频'!$A$505</c:f>
              <c:strCache>
                <c:ptCount val="1"/>
                <c:pt idx="0">
                  <c:v>8 repetitions with inter-slot FH</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enhancement仿真结果.xlsx]20200114-无跳频'!$B$505:$G$505</c:f>
              <c:numCache>
                <c:formatCode>General</c:formatCode>
                <c:ptCount val="6"/>
                <c:pt idx="0">
                  <c:v>0.96797</c:v>
                </c:pt>
                <c:pt idx="1">
                  <c:v>0.80945</c:v>
                </c:pt>
                <c:pt idx="2">
                  <c:v>0.53082</c:v>
                </c:pt>
                <c:pt idx="3">
                  <c:v>0.2545</c:v>
                </c:pt>
                <c:pt idx="4">
                  <c:v>0.07766</c:v>
                </c:pt>
                <c:pt idx="5">
                  <c:v>0.02882</c:v>
                </c:pt>
              </c:numCache>
            </c:numRef>
          </c:val>
          <c:smooth val="0"/>
        </c:ser>
        <c:ser>
          <c:idx val="2"/>
          <c:order val="2"/>
          <c:tx>
            <c:strRef>
              <c:f>'[Coverage enhancement仿真结果.xlsx]20200114-无跳频'!$A$506</c:f>
              <c:strCache>
                <c:ptCount val="1"/>
                <c:pt idx="0">
                  <c:v>8 repetitions with joint channel estimation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enhancement仿真结果.xlsx]20200114-无跳频'!$B$506:$G$506</c:f>
              <c:numCache>
                <c:formatCode>General</c:formatCode>
                <c:ptCount val="6"/>
                <c:pt idx="0">
                  <c:v>0.75901</c:v>
                </c:pt>
                <c:pt idx="1">
                  <c:v>0.51962</c:v>
                </c:pt>
                <c:pt idx="2">
                  <c:v>0.30024</c:v>
                </c:pt>
                <c:pt idx="3">
                  <c:v>0.14011</c:v>
                </c:pt>
                <c:pt idx="4">
                  <c:v>0.06565</c:v>
                </c:pt>
                <c:pt idx="5">
                  <c:v>0.02722</c:v>
                </c:pt>
              </c:numCache>
            </c:numRef>
          </c:val>
          <c:smooth val="0"/>
        </c:ser>
        <c:ser>
          <c:idx val="3"/>
          <c:order val="3"/>
          <c:tx>
            <c:strRef>
              <c:f>'[Coverage enhancement仿真结果.xlsx]20200114-无跳频'!$A$507</c:f>
              <c:strCache>
                <c:ptCount val="1"/>
                <c:pt idx="0">
                  <c:v>8 repetitions with inter-slot FH bundling size 2 and joint channel estimation in each bundle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enhancement仿真结果.xlsx]20200114-无跳频'!$B$507:$G$507</c:f>
              <c:numCache>
                <c:formatCode>General</c:formatCode>
                <c:ptCount val="6"/>
                <c:pt idx="0">
                  <c:v>0.89752</c:v>
                </c:pt>
                <c:pt idx="1">
                  <c:v>0.64051</c:v>
                </c:pt>
                <c:pt idx="2">
                  <c:v>0.39231</c:v>
                </c:pt>
                <c:pt idx="3">
                  <c:v>0.15052</c:v>
                </c:pt>
                <c:pt idx="4">
                  <c:v>0.04323</c:v>
                </c:pt>
                <c:pt idx="5">
                  <c:v>0.01601</c:v>
                </c:pt>
              </c:numCache>
            </c:numRef>
          </c:val>
          <c:smooth val="0"/>
        </c:ser>
        <c:ser>
          <c:idx val="4"/>
          <c:order val="4"/>
          <c:tx>
            <c:strRef>
              <c:f>'[Coverage enhancement仿真结果.xlsx]20200114-无跳频'!$A$508</c:f>
              <c:strCache>
                <c:ptCount val="1"/>
                <c:pt idx="0">
                  <c:v>8 repetitions with inter-slot FH bundling size 4 and joint channel estimation in each bundle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enhancement仿真结果.xlsx]20200114-无跳频'!$B$508:$G$508</c:f>
              <c:numCache>
                <c:formatCode>General</c:formatCode>
                <c:ptCount val="6"/>
                <c:pt idx="0">
                  <c:v>0.79183</c:v>
                </c:pt>
                <c:pt idx="1">
                  <c:v>0.52602</c:v>
                </c:pt>
                <c:pt idx="2">
                  <c:v>0.26021</c:v>
                </c:pt>
                <c:pt idx="3">
                  <c:v>0.09207</c:v>
                </c:pt>
                <c:pt idx="4">
                  <c:v>0.03283</c:v>
                </c:pt>
                <c:pt idx="5">
                  <c:v>0.01201</c:v>
                </c:pt>
              </c:numCache>
            </c:numRef>
          </c:val>
          <c:smooth val="0"/>
        </c:ser>
        <c:dLbls>
          <c:showLegendKey val="0"/>
          <c:showVal val="0"/>
          <c:showCatName val="0"/>
          <c:showSerName val="0"/>
          <c:showPercent val="0"/>
          <c:showBubbleSize val="0"/>
        </c:dLbls>
        <c:marker val="1"/>
        <c:smooth val="0"/>
        <c:axId val="895672690"/>
        <c:axId val="594895001"/>
      </c:lineChart>
      <c:catAx>
        <c:axId val="89567269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4895001"/>
        <c:crossesAt val="0"/>
        <c:auto val="1"/>
        <c:lblAlgn val="ctr"/>
        <c:lblOffset val="100"/>
        <c:noMultiLvlLbl val="0"/>
      </c:catAx>
      <c:valAx>
        <c:axId val="5948950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6726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enhancement仿真结果.xlsx]101e新增仿真结果'!$A$520</c:f>
              <c:strCache>
                <c:ptCount val="1"/>
                <c:pt idx="0">
                  <c:v>single carrier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enhancement仿真结果.xlsx]101e新增仿真结果'!$B$519:$J$519</c15:sqref>
                  </c15:fullRef>
                </c:ext>
              </c:extLst>
              <c:f>'[Coverage enhancement仿真结果.xlsx]101e新增仿真结果'!$B$519:$H$519</c:f>
              <c:numCache>
                <c:formatCode>General</c:formatCode>
                <c:ptCount val="7"/>
                <c:pt idx="0">
                  <c:v>-12</c:v>
                </c:pt>
                <c:pt idx="1">
                  <c:v>-10.5</c:v>
                </c:pt>
                <c:pt idx="2">
                  <c:v>-9</c:v>
                </c:pt>
                <c:pt idx="3">
                  <c:v>-7.5</c:v>
                </c:pt>
                <c:pt idx="4">
                  <c:v>-6</c:v>
                </c:pt>
                <c:pt idx="5">
                  <c:v>-4.5</c:v>
                </c:pt>
                <c:pt idx="6">
                  <c:v>-3</c:v>
                </c:pt>
              </c:numCache>
            </c:numRef>
          </c:cat>
          <c:val>
            <c:numRef>
              <c:extLst>
                <c:ext xmlns:c15="http://schemas.microsoft.com/office/drawing/2012/chart" uri="{02D57815-91ED-43cb-92C2-25804820EDAC}">
                  <c15:fullRef>
                    <c15:sqref>'101e新增仿真结果'!$B$520:$J$520</c15:sqref>
                  </c15:fullRef>
                </c:ext>
              </c:extLst>
              <c:f>'[Coverage enhancement仿真结果.xlsx]101e新增仿真结果'!$B$520:$H$520</c:f>
              <c:numCache>
                <c:formatCode>General</c:formatCode>
                <c:ptCount val="7"/>
                <c:pt idx="0">
                  <c:v>1</c:v>
                </c:pt>
                <c:pt idx="1">
                  <c:v>1</c:v>
                </c:pt>
                <c:pt idx="2">
                  <c:v>0.98839</c:v>
                </c:pt>
                <c:pt idx="3">
                  <c:v>0.88799</c:v>
                </c:pt>
                <c:pt idx="4">
                  <c:v>0.50661</c:v>
                </c:pt>
                <c:pt idx="5">
                  <c:v>0.18789</c:v>
                </c:pt>
                <c:pt idx="6">
                  <c:v>0.03844</c:v>
                </c:pt>
              </c:numCache>
            </c:numRef>
          </c:val>
          <c:smooth val="0"/>
        </c:ser>
        <c:ser>
          <c:idx val="1"/>
          <c:order val="1"/>
          <c:tx>
            <c:strRef>
              <c:f>'[Coverage enhancement仿真结果.xlsx]101e新增仿真结果'!$A$521</c:f>
              <c:strCache>
                <c:ptCount val="1"/>
                <c:pt idx="0">
                  <c:v>Tx switching case under CA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enhancement仿真结果.xlsx]101e新增仿真结果'!$B$519:$J$519</c15:sqref>
                  </c15:fullRef>
                </c:ext>
              </c:extLst>
              <c:f>'[Coverage enhancement仿真结果.xlsx]101e新增仿真结果'!$B$519:$H$519</c:f>
              <c:numCache>
                <c:formatCode>General</c:formatCode>
                <c:ptCount val="7"/>
                <c:pt idx="0">
                  <c:v>-12</c:v>
                </c:pt>
                <c:pt idx="1">
                  <c:v>-10.5</c:v>
                </c:pt>
                <c:pt idx="2">
                  <c:v>-9</c:v>
                </c:pt>
                <c:pt idx="3">
                  <c:v>-7.5</c:v>
                </c:pt>
                <c:pt idx="4">
                  <c:v>-6</c:v>
                </c:pt>
                <c:pt idx="5">
                  <c:v>-4.5</c:v>
                </c:pt>
                <c:pt idx="6">
                  <c:v>-3</c:v>
                </c:pt>
              </c:numCache>
            </c:numRef>
          </c:cat>
          <c:val>
            <c:numRef>
              <c:extLst>
                <c:ext xmlns:c15="http://schemas.microsoft.com/office/drawing/2012/chart" uri="{02D57815-91ED-43cb-92C2-25804820EDAC}">
                  <c15:fullRef>
                    <c15:sqref>'101e新增仿真结果'!$B$521:$J$521</c15:sqref>
                  </c15:fullRef>
                </c:ext>
              </c:extLst>
              <c:f>'[Coverage enhancement仿真结果.xlsx]101e新增仿真结果'!$B$521:$H$521</c:f>
              <c:numCache>
                <c:formatCode>General</c:formatCode>
                <c:ptCount val="7"/>
                <c:pt idx="0">
                  <c:v>0.98609</c:v>
                </c:pt>
                <c:pt idx="1">
                  <c:v>0.87477</c:v>
                </c:pt>
                <c:pt idx="2">
                  <c:v>0.4957</c:v>
                </c:pt>
                <c:pt idx="3">
                  <c:v>0.17918</c:v>
                </c:pt>
                <c:pt idx="4">
                  <c:v>0.03564</c:v>
                </c:pt>
                <c:pt idx="5">
                  <c:v>0.00791</c:v>
                </c:pt>
                <c:pt idx="6">
                  <c:v>0.0021</c:v>
                </c:pt>
              </c:numCache>
            </c:numRef>
          </c:val>
          <c:smooth val="0"/>
        </c:ser>
        <c:dLbls>
          <c:showLegendKey val="0"/>
          <c:showVal val="0"/>
          <c:showCatName val="0"/>
          <c:showSerName val="0"/>
          <c:showPercent val="0"/>
          <c:showBubbleSize val="0"/>
        </c:dLbls>
        <c:marker val="1"/>
        <c:smooth val="0"/>
        <c:axId val="353370165"/>
        <c:axId val="731199455"/>
      </c:lineChart>
      <c:catAx>
        <c:axId val="353370165"/>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1199455"/>
        <c:crossesAt val="0"/>
        <c:auto val="1"/>
        <c:lblAlgn val="ctr"/>
        <c:lblOffset val="100"/>
        <c:noMultiLvlLbl val="0"/>
      </c:catAx>
      <c:valAx>
        <c:axId val="73119945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337016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manualLayout>
          <c:layoutTarget val="inner"/>
          <c:xMode val="edge"/>
          <c:yMode val="edge"/>
          <c:x val="0.0716211912092579"/>
          <c:y val="0.0750338425836395"/>
          <c:w val="0.905021764518526"/>
          <c:h val="0.540649777605879"/>
        </c:manualLayout>
      </c:layout>
      <c:lineChart>
        <c:grouping val="standard"/>
        <c:varyColors val="0"/>
        <c:ser>
          <c:idx val="1"/>
          <c:order val="1"/>
          <c:tx>
            <c:strRef>
              <c:f>'[Coverage enhancement仿真结果.xlsx]20200114-无跳频'!$A$522</c:f>
              <c:strCache>
                <c:ptCount val="1"/>
                <c:pt idx="0">
                  <c:v>Case 1:DMRS pattern 1 w/o joint channel estimation w/ RFE, (Baseline 1, MCS0)</c:v>
                </c:pt>
              </c:strCache>
            </c:strRef>
          </c:tx>
          <c:spPr>
            <a:ln w="28575" cap="rnd" cmpd="sng">
              <a:solidFill>
                <a:schemeClr val="tx1">
                  <a:lumMod val="60000"/>
                  <a:lumOff val="40000"/>
                </a:schemeClr>
              </a:solidFill>
              <a:prstDash val="solid"/>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enhancement仿真结果.xlsx]20200114-无跳频'!$B$522:$G$522</c:f>
              <c:numCache>
                <c:formatCode>General</c:formatCode>
                <c:ptCount val="6"/>
                <c:pt idx="0">
                  <c:v>0.96397</c:v>
                </c:pt>
                <c:pt idx="1">
                  <c:v>0.78383</c:v>
                </c:pt>
                <c:pt idx="2">
                  <c:v>0.43395</c:v>
                </c:pt>
                <c:pt idx="3">
                  <c:v>0.17854</c:v>
                </c:pt>
                <c:pt idx="4">
                  <c:v>0.05524</c:v>
                </c:pt>
                <c:pt idx="5">
                  <c:v>0.01521</c:v>
                </c:pt>
              </c:numCache>
            </c:numRef>
          </c:val>
          <c:smooth val="0"/>
        </c:ser>
        <c:ser>
          <c:idx val="3"/>
          <c:order val="3"/>
          <c:tx>
            <c:strRef>
              <c:f>'[Coverage enhancement仿真结果.xlsx]20200114-无跳频'!$A$524</c:f>
              <c:strCache>
                <c:ptCount val="1"/>
                <c:pt idx="0">
                  <c:v>Case 2:DMRS pattern 2 w/o joint channel estimation w/ RFE, (Baseline 2, MCS1)</c:v>
                </c:pt>
              </c:strCache>
            </c:strRef>
          </c:tx>
          <c:spPr>
            <a:ln w="28575" cap="rnd" cmpd="sng">
              <a:solidFill>
                <a:schemeClr val="accent4"/>
              </a:solidFill>
              <a:prstDash val="solid"/>
              <a:round/>
            </a:ln>
            <a:effectLst/>
            <a:sp3d contourW="28575"/>
          </c:spPr>
          <c:marker>
            <c:symbol val="circle"/>
            <c:size val="5"/>
            <c:spPr>
              <a:solidFill>
                <a:schemeClr val="accent4"/>
              </a:solidFill>
              <a:ln w="9525">
                <a:solidFill>
                  <a:schemeClr val="accent4"/>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enhancement仿真结果.xlsx]20200114-无跳频'!$B$524:$G$524</c:f>
              <c:numCache>
                <c:formatCode>General</c:formatCode>
                <c:ptCount val="6"/>
                <c:pt idx="0">
                  <c:v>0.95356</c:v>
                </c:pt>
                <c:pt idx="1">
                  <c:v>0.73899</c:v>
                </c:pt>
                <c:pt idx="2">
                  <c:v>0.41553</c:v>
                </c:pt>
                <c:pt idx="3">
                  <c:v>0.16493</c:v>
                </c:pt>
                <c:pt idx="4">
                  <c:v>0.05524</c:v>
                </c:pt>
                <c:pt idx="5">
                  <c:v>0.01601</c:v>
                </c:pt>
              </c:numCache>
            </c:numRef>
          </c:val>
          <c:smooth val="0"/>
        </c:ser>
        <c:ser>
          <c:idx val="5"/>
          <c:order val="5"/>
          <c:tx>
            <c:strRef>
              <c:f>'[Coverage enhancement仿真结果.xlsx]20200114-无跳频'!$A$526</c:f>
              <c:strCache>
                <c:ptCount val="1"/>
                <c:pt idx="0">
                  <c:v>Case 3:DMRS pattern 1 w/ joint channel estimation, w/o DMRS optimization, w/ RFE, MCS0</c:v>
                </c:pt>
              </c:strCache>
            </c:strRef>
          </c:tx>
          <c:spPr>
            <a:ln w="28575" cap="rnd" cmpd="sng">
              <a:solidFill>
                <a:schemeClr val="accent1">
                  <a:lumMod val="60000"/>
                  <a:lumOff val="40000"/>
                </a:schemeClr>
              </a:solidFill>
              <a:prstDash val="solid"/>
              <a:round/>
            </a:ln>
            <a:effectLst/>
            <a:sp3d contourW="28575"/>
          </c:spPr>
          <c:marker>
            <c:symbol val="circle"/>
            <c:size val="5"/>
            <c:spPr>
              <a:solidFill>
                <a:schemeClr val="accent1"/>
              </a:solidFill>
              <a:ln w="9525">
                <a:solidFill>
                  <a:schemeClr val="accent1"/>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enhancement仿真结果.xlsx]20200114-无跳频'!$B$526:$G$526</c:f>
              <c:numCache>
                <c:formatCode>General</c:formatCode>
                <c:ptCount val="6"/>
                <c:pt idx="0">
                  <c:v>0.69416</c:v>
                </c:pt>
                <c:pt idx="1">
                  <c:v>0.36109</c:v>
                </c:pt>
                <c:pt idx="2">
                  <c:v>0.14412</c:v>
                </c:pt>
                <c:pt idx="3">
                  <c:v>0.04564</c:v>
                </c:pt>
              </c:numCache>
            </c:numRef>
          </c:val>
          <c:smooth val="0"/>
        </c:ser>
        <c:ser>
          <c:idx val="7"/>
          <c:order val="7"/>
          <c:tx>
            <c:strRef>
              <c:f>'[Coverage enhancement仿真结果.xlsx]20200114-无跳频'!$A$528</c:f>
              <c:strCache>
                <c:ptCount val="1"/>
                <c:pt idx="0">
                  <c:v>Case 4:DMRS pattern 2 w/ joint channel estimation, w/o DMRS optimization, w/ RFE, MCS1</c:v>
                </c:pt>
              </c:strCache>
            </c:strRef>
          </c:tx>
          <c:spPr>
            <a:ln w="28575" cap="rnd" cmpd="sng">
              <a:solidFill>
                <a:schemeClr val="accent3"/>
              </a:solidFill>
              <a:prstDash val="solid"/>
              <a:round/>
            </a:ln>
            <a:effectLst/>
            <a:sp3d contourW="28575"/>
          </c:spPr>
          <c:marker>
            <c:symbol val="circle"/>
            <c:size val="5"/>
            <c:spPr>
              <a:solidFill>
                <a:schemeClr val="accent3"/>
              </a:solidFill>
              <a:ln w="9525">
                <a:solidFill>
                  <a:schemeClr val="accent3"/>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enhancement仿真结果.xlsx]20200114-无跳频'!$B$528:$G$528</c:f>
              <c:numCache>
                <c:formatCode>General</c:formatCode>
                <c:ptCount val="6"/>
                <c:pt idx="0">
                  <c:v>0.78062</c:v>
                </c:pt>
                <c:pt idx="1">
                  <c:v>0.47398</c:v>
                </c:pt>
                <c:pt idx="2">
                  <c:v>0.20176</c:v>
                </c:pt>
                <c:pt idx="3">
                  <c:v>0.07126</c:v>
                </c:pt>
                <c:pt idx="4">
                  <c:v>0.02242</c:v>
                </c:pt>
              </c:numCache>
            </c:numRef>
          </c:val>
          <c:smooth val="0"/>
        </c:ser>
        <c:ser>
          <c:idx val="9"/>
          <c:order val="9"/>
          <c:tx>
            <c:strRef>
              <c:f>'[Coverage enhancement仿真结果.xlsx]20200114-无跳频'!$A$530</c:f>
              <c:strCache>
                <c:ptCount val="1"/>
                <c:pt idx="0">
                  <c:v>Case 5:DMRS pattern 3 w/ joint channel estimation, w/ DMRS optimization, w/ RFE, MCS0</c:v>
                </c:pt>
              </c:strCache>
            </c:strRef>
          </c:tx>
          <c:spPr>
            <a:ln w="28575" cap="rnd" cmpd="sng">
              <a:solidFill>
                <a:schemeClr val="accent4">
                  <a:lumMod val="60000"/>
                </a:schemeClr>
              </a:solidFill>
              <a:prstDash val="solid"/>
              <a:round/>
            </a:ln>
            <a:effectLst/>
            <a:sp3d contourW="28575"/>
          </c:spPr>
          <c:marker>
            <c:symbol val="circle"/>
            <c:size val="5"/>
            <c:spPr>
              <a:solidFill>
                <a:schemeClr val="accent4">
                  <a:lumMod val="60000"/>
                </a:schemeClr>
              </a:solidFill>
              <a:ln w="9525">
                <a:solidFill>
                  <a:schemeClr val="accent4">
                    <a:lumMod val="6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enhancement仿真结果.xlsx]20200114-无跳频'!$B$530:$G$530</c:f>
              <c:numCache>
                <c:formatCode>General</c:formatCode>
                <c:ptCount val="6"/>
                <c:pt idx="0">
                  <c:v>0.7558</c:v>
                </c:pt>
                <c:pt idx="1">
                  <c:v>0.43875</c:v>
                </c:pt>
                <c:pt idx="2">
                  <c:v>0.20657</c:v>
                </c:pt>
                <c:pt idx="3">
                  <c:v>0.07526</c:v>
                </c:pt>
                <c:pt idx="4">
                  <c:v>0.02162</c:v>
                </c:pt>
                <c:pt idx="5">
                  <c:v>0.004</c:v>
                </c:pt>
              </c:numCache>
            </c:numRef>
          </c:val>
          <c:smooth val="0"/>
        </c:ser>
        <c:ser>
          <c:idx val="11"/>
          <c:order val="11"/>
          <c:tx>
            <c:strRef>
              <c:f>'[Coverage enhancement仿真结果.xlsx]20200114-无跳频'!$A$532</c:f>
              <c:strCache>
                <c:ptCount val="1"/>
                <c:pt idx="0">
                  <c:v>Case 6:DMRS pattern 4 w/ joint channel estimation, w/ DMRS optimization, w/ RFE, MCS0</c:v>
                </c:pt>
              </c:strCache>
            </c:strRef>
          </c:tx>
          <c:spPr>
            <a:ln w="28575" cap="rnd" cmpd="sng">
              <a:solidFill>
                <a:schemeClr val="accent5">
                  <a:lumMod val="75000"/>
                </a:schemeClr>
              </a:solidFill>
              <a:prstDash val="solid"/>
              <a:round/>
            </a:ln>
            <a:effectLst/>
            <a:sp3d contourW="28575"/>
          </c:spPr>
          <c:marker>
            <c:symbol val="circle"/>
            <c:size val="5"/>
            <c:spPr>
              <a:solidFill>
                <a:schemeClr val="accent5">
                  <a:lumMod val="75000"/>
                </a:schemeClr>
              </a:solidFill>
              <a:ln w="9525">
                <a:solidFill>
                  <a:schemeClr val="accent5">
                    <a:lumMod val="75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enhancement仿真结果.xlsx]20200114-无跳频'!$B$532:$G$532</c:f>
              <c:numCache>
                <c:formatCode>General</c:formatCode>
                <c:ptCount val="6"/>
                <c:pt idx="0">
                  <c:v>0.65092</c:v>
                </c:pt>
                <c:pt idx="1">
                  <c:v>0.32426</c:v>
                </c:pt>
                <c:pt idx="2">
                  <c:v>0.13531</c:v>
                </c:pt>
                <c:pt idx="3">
                  <c:v>0.04163</c:v>
                </c:pt>
                <c:pt idx="4">
                  <c:v>0.0121</c:v>
                </c:pt>
                <c:pt idx="5">
                  <c:v>0</c:v>
                </c:pt>
              </c:numCache>
            </c:numRef>
          </c:val>
          <c:smooth val="0"/>
        </c:ser>
        <c:dLbls>
          <c:showLegendKey val="0"/>
          <c:showVal val="0"/>
          <c:showCatName val="0"/>
          <c:showSerName val="0"/>
          <c:showPercent val="0"/>
          <c:showBubbleSize val="0"/>
        </c:dLbls>
        <c:marker val="1"/>
        <c:smooth val="0"/>
        <c:axId val="276343789"/>
        <c:axId val="980509578"/>
        <c:extLst>
          <c:ext xmlns:c15="http://schemas.microsoft.com/office/drawing/2012/chart" uri="{02D57815-91ED-43cb-92C2-25804820EDAC}">
            <c15:filteredLineSeries>
              <c15:ser>
                <c:idx val="0"/>
                <c:order val="0"/>
                <c:tx>
                  <c:strRef>
                    <c:extLst>
                      <c:ext uri="{02D57815-91ED-43cb-92C2-25804820EDAC}">
                        <c15:formulaRef>
                          <c15:sqref>'[Coverage enhancement仿真结果.xlsx]20200114-无跳频'!$A$521</c15:sqref>
                        </c15:formulaRef>
                      </c:ext>
                    </c:extLst>
                    <c:strCache>
                      <c:ptCount val="1"/>
                      <c:pt idx="0">
                        <c:v>Case 1:DMRS pattern 1 w/o joint channel estimation w/o RFE, (Baseline 1, MCS0)</c:v>
                      </c:pt>
                    </c:strCache>
                  </c:strRef>
                </c:tx>
                <c:spPr>
                  <a:ln w="28575" cap="rnd" cmpd="sng">
                    <a:solidFill>
                      <a:schemeClr val="tx1">
                        <a:lumMod val="60000"/>
                        <a:lumOff val="40000"/>
                      </a:schemeClr>
                    </a:solidFill>
                    <a:prstDash val="solid"/>
                    <a:round/>
                  </a:ln>
                  <a:effectLst/>
                  <a:sp3d contourW="28575"/>
                </c:spPr>
                <c:marker>
                  <c:symbol val="circle"/>
                  <c:size val="5"/>
                  <c:spPr>
                    <a:solidFill>
                      <a:schemeClr val="tx1">
                        <a:lumMod val="60000"/>
                        <a:lumOff val="40000"/>
                      </a:schemeClr>
                    </a:solidFill>
                    <a:ln w="9525">
                      <a:solidFill>
                        <a:schemeClr val="tx1">
                          <a:lumMod val="60000"/>
                          <a:lumOff val="4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{0.95997,0.78143,0.45156,0.17694,0.05284,0.01201}</c15:sqref>
                        </c15:formulaRef>
                      </c:ext>
                    </c:extLst>
                    <c:numCache>
                      <c:formatCode>General</c:formatCode>
                      <c:ptCount val="6"/>
                      <c:pt idx="0">
                        <c:v>0.95997</c:v>
                      </c:pt>
                      <c:pt idx="1">
                        <c:v>0.78143</c:v>
                      </c:pt>
                      <c:pt idx="2">
                        <c:v>0.45156</c:v>
                      </c:pt>
                      <c:pt idx="3">
                        <c:v>0.17694</c:v>
                      </c:pt>
                      <c:pt idx="4">
                        <c:v>0.05284</c:v>
                      </c:pt>
                      <c:pt idx="5">
                        <c:v>0.01201</c:v>
                      </c:pt>
                    </c:numCache>
                  </c:numRef>
                </c:val>
                <c:smooth val="0"/>
              </c15:ser>
            </c15:filteredLineSeries>
            <c15:filteredLineSeries>
              <c15:ser>
                <c:idx val="2"/>
                <c:order val="2"/>
                <c:tx>
                  <c:strRef>
                    <c:extLst>
                      <c:ext uri="{02D57815-91ED-43cb-92C2-25804820EDAC}">
                        <c15:formulaRef>
                          <c15:sqref>'[Coverage enhancement仿真结果.xlsx]20200114-无跳频'!$A$523</c15:sqref>
                        </c15:formulaRef>
                      </c:ext>
                    </c:extLst>
                    <c:strCache>
                      <c:ptCount val="1"/>
                      <c:pt idx="0">
                        <c:v>Case 2:DMRS pattern 2 w/o joint channel estimation w/o RFE, (Baseline 2,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{0.94876,0.7454,0.40913,0.15773,0.05444,0.01361}</c15:sqref>
                        </c15:formulaRef>
                      </c:ext>
                    </c:extLst>
                    <c:numCache>
                      <c:formatCode>General</c:formatCode>
                      <c:ptCount val="6"/>
                      <c:pt idx="0">
                        <c:v>0.94876</c:v>
                      </c:pt>
                      <c:pt idx="1">
                        <c:v>0.7454</c:v>
                      </c:pt>
                      <c:pt idx="2">
                        <c:v>0.40913</c:v>
                      </c:pt>
                      <c:pt idx="3">
                        <c:v>0.15773</c:v>
                      </c:pt>
                      <c:pt idx="4">
                        <c:v>0.05444</c:v>
                      </c:pt>
                      <c:pt idx="5">
                        <c:v>0.01361</c:v>
                      </c:pt>
                    </c:numCache>
                  </c:numRef>
                </c:val>
                <c:smooth val="0"/>
              </c15:ser>
            </c15:filteredLineSeries>
            <c15:filteredLineSeries>
              <c15:ser>
                <c:idx val="4"/>
                <c:order val="4"/>
                <c:tx>
                  <c:strRef>
                    <c:extLst>
                      <c:ext uri="{02D57815-91ED-43cb-92C2-25804820EDAC}">
                        <c15:formulaRef>
                          <c15:sqref>'[Coverage enhancement仿真结果.xlsx]20200114-无跳频'!$A$525</c15:sqref>
                        </c15:formulaRef>
                      </c:ext>
                    </c:extLst>
                    <c:strCache>
                      <c:ptCount val="1"/>
                      <c:pt idx="0">
                        <c:v>Case 3:DMRS pattern 1 w/ joint channel estimation, w/o DMRS optimization, w/o RFE,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{0.67574,0.34988,0.15052,0.05524,#N/A,#N/A}</c15:sqref>
                        </c15:formulaRef>
                      </c:ext>
                    </c:extLst>
                    <c:numCache>
                      <c:formatCode>General</c:formatCode>
                      <c:ptCount val="6"/>
                      <c:pt idx="0">
                        <c:v>0.67574</c:v>
                      </c:pt>
                      <c:pt idx="1">
                        <c:v>0.34988</c:v>
                      </c:pt>
                      <c:pt idx="2">
                        <c:v>0.15052</c:v>
                      </c:pt>
                      <c:pt idx="3">
                        <c:v>0.05524</c:v>
                      </c:pt>
                    </c:numCache>
                  </c:numRef>
                </c:val>
                <c:smooth val="0"/>
              </c15:ser>
            </c15:filteredLineSeries>
            <c15:filteredLineSeries>
              <c15:ser>
                <c:idx val="6"/>
                <c:order val="6"/>
                <c:tx>
                  <c:strRef>
                    <c:extLst>
                      <c:ext uri="{02D57815-91ED-43cb-92C2-25804820EDAC}">
                        <c15:formulaRef>
                          <c15:sqref>'[Coverage enhancement仿真结果.xlsx]20200114-无跳频'!$A$527</c15:sqref>
                        </c15:formulaRef>
                      </c:ext>
                    </c:extLst>
                    <c:strCache>
                      <c:ptCount val="1"/>
                      <c:pt idx="0">
                        <c:v>Case 4:DMRS pattern 2 w/ joint channel estimation, w/o DMRS optimization, w/o RFE,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{0.77662,0.44916,0.19376,0.06245,0.02162,0}</c15:sqref>
                        </c15:formulaRef>
                      </c:ext>
                    </c:extLst>
                    <c:numCache>
                      <c:formatCode>General</c:formatCode>
                      <c:ptCount val="6"/>
                      <c:pt idx="0">
                        <c:v>0.77662</c:v>
                      </c:pt>
                      <c:pt idx="1">
                        <c:v>0.44916</c:v>
                      </c:pt>
                      <c:pt idx="2">
                        <c:v>0.19376</c:v>
                      </c:pt>
                      <c:pt idx="3">
                        <c:v>0.06245</c:v>
                      </c:pt>
                      <c:pt idx="4">
                        <c:v>0.02162</c:v>
                      </c:pt>
                      <c:pt idx="5">
                        <c:v>0</c:v>
                      </c:pt>
                    </c:numCache>
                  </c:numRef>
                </c:val>
                <c:smooth val="0"/>
              </c15:ser>
            </c15:filteredLineSeries>
            <c15:filteredLineSeries>
              <c15:ser>
                <c:idx val="8"/>
                <c:order val="8"/>
                <c:tx>
                  <c:strRef>
                    <c:extLst>
                      <c:ext uri="{02D57815-91ED-43cb-92C2-25804820EDAC}">
                        <c15:formulaRef>
                          <c15:sqref>'[Coverage enhancement仿真结果.xlsx]20200114-无跳频'!$A$529</c15:sqref>
                        </c15:formulaRef>
                      </c:ext>
                    </c:extLst>
                    <c:strCache>
                      <c:ptCount val="1"/>
                      <c:pt idx="0">
                        <c:v>Case 5:DMRS pattern 3 w/ joint channel estimation, w/ DMRS optimization, w/o RFE, MCS0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{0.73979,0.43155,0.16894,0.06245,0.02162,0.0032}</c15:sqref>
                        </c15:formulaRef>
                      </c:ext>
                    </c:extLst>
                    <c:numCache>
                      <c:formatCode>General</c:formatCode>
                      <c:ptCount val="6"/>
                      <c:pt idx="0">
                        <c:v>0.73979</c:v>
                      </c:pt>
                      <c:pt idx="1">
                        <c:v>0.43155</c:v>
                      </c:pt>
                      <c:pt idx="2">
                        <c:v>0.16894</c:v>
                      </c:pt>
                      <c:pt idx="3">
                        <c:v>0.06245</c:v>
                      </c:pt>
                      <c:pt idx="4">
                        <c:v>0.02162</c:v>
                      </c:pt>
                      <c:pt idx="5">
                        <c:v>0.0032</c:v>
                      </c:pt>
                    </c:numCache>
                  </c:numRef>
                </c:val>
                <c:smooth val="0"/>
              </c15:ser>
            </c15:filteredLineSeries>
            <c15:filteredLineSeries>
              <c15:ser>
                <c:idx val="10"/>
                <c:order val="10"/>
                <c:tx>
                  <c:strRef>
                    <c:extLst>
                      <c:ext uri="{02D57815-91ED-43cb-92C2-25804820EDAC}">
                        <c15:formulaRef>
                          <c15:sqref>'[Coverage enhancement仿真结果.xlsx]20200114-无跳频'!$A$531</c15:sqref>
                        </c15:formulaRef>
                      </c:ext>
                    </c:extLst>
                    <c:strCache>
                      <c:ptCount val="1"/>
                      <c:pt idx="0">
                        <c:v>Case 6:DMRS pattern 4 w/ joint channel estimation, w/ DMRS optimization, w/o RFE, MCS0</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{0.63571,0.31785,0.1193,0.04243,0.01121,0}</c15:sqref>
                        </c15:formulaRef>
                      </c:ext>
                    </c:extLst>
                    <c:numCache>
                      <c:formatCode>General</c:formatCode>
                      <c:ptCount val="6"/>
                      <c:pt idx="0">
                        <c:v>0.63571</c:v>
                      </c:pt>
                      <c:pt idx="1">
                        <c:v>0.31785</c:v>
                      </c:pt>
                      <c:pt idx="2">
                        <c:v>0.1193</c:v>
                      </c:pt>
                      <c:pt idx="3">
                        <c:v>0.04243</c:v>
                      </c:pt>
                      <c:pt idx="4">
                        <c:v>0.01121</c:v>
                      </c:pt>
                      <c:pt idx="5">
                        <c:v>0</c:v>
                      </c:pt>
                    </c:numCache>
                  </c:numRef>
                </c:val>
                <c:smooth val="0"/>
              </c15:ser>
            </c15:filteredLineSeries>
          </c:ext>
        </c:extLst>
      </c:lineChart>
      <c:catAx>
        <c:axId val="27634378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3</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2021-05-10T06:07:47Z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